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5D75" w14:textId="77777777" w:rsidR="007B50C3" w:rsidRPr="007B50C3" w:rsidRDefault="00AB5B60" w:rsidP="00DC7A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50C3">
        <w:rPr>
          <w:rFonts w:ascii="Times New Roman" w:hAnsi="Times New Roman" w:cs="Times New Roman"/>
          <w:b/>
          <w:sz w:val="24"/>
          <w:szCs w:val="24"/>
          <w:lang w:val="bg-BG"/>
        </w:rPr>
        <w:t>МОТИВИ</w:t>
      </w:r>
    </w:p>
    <w:p w14:paraId="0EF72A39" w14:textId="7B2E8522" w:rsidR="007B50C3" w:rsidRPr="007B50C3" w:rsidRDefault="007B50C3" w:rsidP="00DC7A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Pr="007B50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ъм проект на Закон за </w:t>
      </w:r>
      <w:r w:rsidR="00AC1A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допълнение </w:t>
      </w:r>
      <w:r w:rsidRPr="007B50C3">
        <w:rPr>
          <w:rFonts w:ascii="Times New Roman" w:hAnsi="Times New Roman" w:cs="Times New Roman"/>
          <w:b/>
          <w:sz w:val="24"/>
          <w:szCs w:val="24"/>
          <w:lang w:val="bg-BG"/>
        </w:rPr>
        <w:t>на Закона за туризма</w:t>
      </w:r>
    </w:p>
    <w:p w14:paraId="3B1B8295" w14:textId="77777777" w:rsidR="00716D5D" w:rsidRPr="007B50C3" w:rsidRDefault="007B50C3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50C3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716D5D" w:rsidRPr="007B50C3">
        <w:rPr>
          <w:rFonts w:ascii="Times New Roman" w:hAnsi="Times New Roman" w:cs="Times New Roman"/>
          <w:sz w:val="24"/>
          <w:szCs w:val="24"/>
          <w:lang w:val="bg-BG"/>
        </w:rPr>
        <w:t>Присъединяването на страната ни към Организацията за икономическо сътрудничество и развитие (ОИСР) и прилагането на най-добрите международни политики и добри практики е един от ключовите приоритети за българската държава, тъй като ще стимулира ускоряването на реформите в страната и сближаването ни с икономически най-развитите държави. Членството ни ще допринесе за устойчиво икономическо развитие и финансова стабилност.</w:t>
      </w:r>
    </w:p>
    <w:p w14:paraId="296D589C" w14:textId="3AE164CD" w:rsidR="007B50C3" w:rsidRDefault="007B50C3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Причините, които налагат </w:t>
      </w:r>
      <w:r w:rsidR="00AC1AFD">
        <w:rPr>
          <w:rFonts w:ascii="Times New Roman" w:hAnsi="Times New Roman" w:cs="Times New Roman"/>
          <w:sz w:val="24"/>
          <w:szCs w:val="24"/>
          <w:lang w:val="bg-BG"/>
        </w:rPr>
        <w:t xml:space="preserve">допълнение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в Закона за туризма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ЗТ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, са продиктувани от необходимостта от привеждане на закона в съответствие с Кодексите за либерализация на Организацията за икономическо сътрудничество и развитие с цел изравняване на изискванията към чуждестранните туроператори,  туристически агенти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, хотелиери, ресторантьори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 ски училища, лица, предоставящи балнолечебни (медикъл СПА), СПА, уелнес и таласотерапевтични услуги в сертифицирани центрове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лицата, които упражняват професиите „</w:t>
      </w:r>
      <w:r>
        <w:rPr>
          <w:rFonts w:ascii="Times New Roman" w:hAnsi="Times New Roman" w:cs="Times New Roman"/>
          <w:sz w:val="24"/>
          <w:szCs w:val="24"/>
          <w:lang w:val="bg-BG"/>
        </w:rPr>
        <w:t>екскурзовод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“, „планински водач“ и „ски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 xml:space="preserve"> учител“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държави-членки на ОИСР, които са извън Европейския съюз, спрямо българските 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 xml:space="preserve">доставчици на туристически услуги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недопускане на неравнопоставеност. </w:t>
      </w:r>
    </w:p>
    <w:p w14:paraId="62ED2147" w14:textId="77777777" w:rsidR="000F67A8" w:rsidRDefault="007B50C3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В изпълнение на </w:t>
      </w:r>
      <w:r w:rsidR="000F67A8">
        <w:rPr>
          <w:rFonts w:ascii="Times New Roman" w:hAnsi="Times New Roman" w:cs="Times New Roman"/>
          <w:sz w:val="24"/>
          <w:szCs w:val="24"/>
          <w:lang w:val="bg-BG"/>
        </w:rPr>
        <w:t>Пътната карта за действията на Република България по присъединяването към ОИСР, приета с Решение № 789 на Министерския съвет от 2017 г., беше сключено Споразумение между правителството на Република България и ОИСР за извършването на преглед за присъединяване на страната към Кодекса за либерализация на движението на капитали и към Кодекса за либерализация на текущите невидими операции, ратифицирано със закон и обнародвано в „Държавен вестник“, бр.16 от 2019 г., в сила от 8 февруари 2019 г.</w:t>
      </w:r>
    </w:p>
    <w:p w14:paraId="3E227B02" w14:textId="77777777" w:rsidR="000F67A8" w:rsidRDefault="000F67A8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Кодексите за либерализация на движението на капитали и на текущите невидими операции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Кодексите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многостранно подкрепени правни инструменти на ОИСР, насърчаващи свободата на трансграничното движение на капитали и на услуги.  </w:t>
      </w:r>
      <w:r w:rsidR="000B7BD3">
        <w:rPr>
          <w:rFonts w:ascii="Times New Roman" w:hAnsi="Times New Roman" w:cs="Times New Roman"/>
          <w:sz w:val="24"/>
          <w:szCs w:val="24"/>
          <w:lang w:val="bg-BG"/>
        </w:rPr>
        <w:t xml:space="preserve">Кодексите имат правен статут на Решение на Съвета на ОИСР, което е обвързващо за всички държави-членки на организацията. Те предоставят рамка за уведомяване, проверка и консултация, чрез която се следи и постига ефективно спазването на техните предписания. Кодексите също така служат като отправна точка, спрямо която може да се прецени напредъка към либерализация. </w:t>
      </w:r>
    </w:p>
    <w:p w14:paraId="4BD5C9E0" w14:textId="77777777" w:rsidR="00A17060" w:rsidRDefault="000B7BD3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Във връзка с процеса на присъединяване на Република България към Кодексите</w:t>
      </w:r>
      <w:r w:rsidR="00A17060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Инвести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>ци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онният 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 xml:space="preserve">комитет на ОИСР е посочил като важна за присъединяването на България темата за </w:t>
      </w:r>
      <w:r w:rsidR="0059589E" w:rsidRPr="0059589E">
        <w:rPr>
          <w:rFonts w:ascii="Times New Roman" w:hAnsi="Times New Roman" w:cs="Times New Roman"/>
          <w:sz w:val="24"/>
          <w:szCs w:val="24"/>
          <w:lang w:val="bg-BG"/>
        </w:rPr>
        <w:t>предприятия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59589E" w:rsidRPr="0059589E">
        <w:rPr>
          <w:rFonts w:ascii="Times New Roman" w:hAnsi="Times New Roman" w:cs="Times New Roman"/>
          <w:sz w:val="24"/>
          <w:szCs w:val="24"/>
        </w:rPr>
        <w:t xml:space="preserve">, които предоставят услуги 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>като  туроператор и/или туристически агент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, хотелиерски и ресторантьорски услуги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 извършващи туристическа дейност като ски училище, предоставящи балнолечебни (медикъл СПА), СПА, уелнес и таласотерапевтични услуги в сертифицирани центрове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 xml:space="preserve"> и лицата, упражняващи професи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>екскурзовод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59589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024AF">
        <w:rPr>
          <w:rFonts w:ascii="Times New Roman" w:hAnsi="Times New Roman" w:cs="Times New Roman"/>
          <w:sz w:val="24"/>
          <w:szCs w:val="24"/>
          <w:lang w:val="bg-BG"/>
        </w:rPr>
        <w:t xml:space="preserve"> „планински водач“ и „ски учител“</w:t>
      </w:r>
      <w:r w:rsidR="00A17060">
        <w:rPr>
          <w:rFonts w:ascii="Times New Roman" w:hAnsi="Times New Roman" w:cs="Times New Roman"/>
          <w:sz w:val="24"/>
          <w:szCs w:val="24"/>
          <w:lang w:val="bg-BG"/>
        </w:rPr>
        <w:t xml:space="preserve">, които са  </w:t>
      </w:r>
      <w:r w:rsidR="0036628E">
        <w:rPr>
          <w:rFonts w:ascii="Times New Roman" w:hAnsi="Times New Roman" w:cs="Times New Roman"/>
          <w:sz w:val="24"/>
          <w:szCs w:val="24"/>
          <w:lang w:val="bg-BG"/>
        </w:rPr>
        <w:t xml:space="preserve">регламентирани </w:t>
      </w:r>
      <w:r w:rsidR="00A17060">
        <w:rPr>
          <w:rFonts w:ascii="Times New Roman" w:hAnsi="Times New Roman" w:cs="Times New Roman"/>
          <w:sz w:val="24"/>
          <w:szCs w:val="24"/>
          <w:lang w:val="bg-BG"/>
        </w:rPr>
        <w:t>дейности и професии в държави-членки на ОИСР.</w:t>
      </w:r>
    </w:p>
    <w:p w14:paraId="63AE8185" w14:textId="1B396772" w:rsidR="00A17060" w:rsidRDefault="00A17060" w:rsidP="00A170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цел недопускане на дискриминация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касаещ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доставчиците  от държавите –членки на ОИСР</w:t>
      </w:r>
      <w:r w:rsidR="00CE1B42">
        <w:rPr>
          <w:rFonts w:ascii="Times New Roman" w:hAnsi="Times New Roman" w:cs="Times New Roman"/>
          <w:sz w:val="24"/>
          <w:szCs w:val="24"/>
        </w:rPr>
        <w:t xml:space="preserve"> (</w:t>
      </w:r>
      <w:r w:rsidR="00CE1B42">
        <w:rPr>
          <w:rFonts w:ascii="Times New Roman" w:hAnsi="Times New Roman" w:cs="Times New Roman"/>
          <w:sz w:val="24"/>
          <w:szCs w:val="24"/>
          <w:lang w:val="bg-BG"/>
        </w:rPr>
        <w:t>които не са членове на ЕС</w:t>
      </w:r>
      <w:r w:rsidR="00CE1B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горепосочените услуги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извършвани от туроператори, туристически  агенти, хотелиери, ресторантьори, ски-училища и лицата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упражняващи  трите професии</w:t>
      </w:r>
      <w:r w:rsidR="009E5B8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е необходимо да се допълнят съответните норми в Закона за туризма</w:t>
      </w:r>
      <w:r w:rsidR="005F4B4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8ABC1C7" w14:textId="77777777" w:rsidR="001E2E52" w:rsidRDefault="000A69CD" w:rsidP="00DC7A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1E2E52" w:rsidRPr="00E82289">
        <w:rPr>
          <w:rFonts w:ascii="Times New Roman" w:hAnsi="Times New Roman" w:cs="Times New Roman"/>
          <w:sz w:val="24"/>
          <w:szCs w:val="24"/>
          <w:lang w:val="bg-BG"/>
        </w:rPr>
        <w:t xml:space="preserve">В действащата нормативна уредба съгласно </w:t>
      </w:r>
      <w:r w:rsidR="001E2E52" w:rsidRPr="00E82289">
        <w:rPr>
          <w:rFonts w:ascii="Times New Roman" w:hAnsi="Times New Roman" w:cs="Times New Roman"/>
          <w:b/>
          <w:sz w:val="24"/>
          <w:szCs w:val="24"/>
          <w:lang w:val="bg-BG"/>
        </w:rPr>
        <w:t>Закона за туризма</w:t>
      </w:r>
      <w:r w:rsidR="001E2E52" w:rsidRPr="00E822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2E52"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Глава седма „Туроператорска и туристическа агентска дейност“ Раздел I Условия и ред за извършване на туроператорска и туристическа агентска дейност са регламентирани изискванията спрямо лицата, които ще извършват дейност като туроператор и туристически агент на територията на Република България. </w:t>
      </w:r>
      <w:r w:rsid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Административният р</w:t>
      </w:r>
      <w:r w:rsidR="001E2E52" w:rsidRPr="00E82289">
        <w:rPr>
          <w:rFonts w:ascii="Times New Roman" w:hAnsi="Times New Roman" w:cs="Times New Roman"/>
          <w:bCs/>
          <w:sz w:val="24"/>
          <w:szCs w:val="24"/>
          <w:lang w:val="bg-BG"/>
        </w:rPr>
        <w:t>ежим е регистрационен</w:t>
      </w:r>
      <w:r w:rsidR="00E82289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1E2E52"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3035CFCD" w14:textId="77777777" w:rsidR="00E82289" w:rsidRDefault="00E82289" w:rsidP="00DC7AA6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Изискванията към момента синтезирано се съдържат в чл. 61 от ЗТ, като нормата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 нейните подразделения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повелява</w:t>
      </w:r>
      <w:r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т</w:t>
      </w:r>
      <w:r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уроператорска и/или туристическа агентска дейност на територията на Република България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да </w:t>
      </w:r>
      <w:r w:rsidRPr="00E82289">
        <w:rPr>
          <w:rFonts w:ascii="Times New Roman" w:hAnsi="Times New Roman" w:cs="Times New Roman"/>
          <w:bCs/>
          <w:sz w:val="24"/>
          <w:szCs w:val="24"/>
          <w:lang w:val="bg-BG"/>
        </w:rPr>
        <w:t>се извършва от регистрирано по закон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а</w:t>
      </w:r>
      <w:r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лице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което е търговец по смисъла на Търговския закон или юридическо лице, което има право по силата на друг закон за извършва стопанска дейност, включително по законодателството на друга </w:t>
      </w:r>
      <w:r w:rsidRPr="00E8228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държава - членка на Европейския съюз, и на държава - страна по Споразумението за Европейското икономическо пространство, или на Конфедерация Швейцария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По отношение на субекти извън ЕС и ЕИП или Конфедерация Швейцария България не допуска 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възможността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упражняват горецитираната дейност на територията на страната.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1B71C384" w14:textId="77777777" w:rsidR="002D4FD7" w:rsidRDefault="00E82289" w:rsidP="002D4F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>В тази връзка, к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ато причина, която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налага допълнение в Закона за туризма изтъкваме необходимостта от привеждане на закона в съответствие с Кодексите за либерализация на ОИСР с цел изравняването на изискванията 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спрямо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субектите, които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са под юрисдикцията на държави-членки на ОИСР, които са извън ЕС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>, ЕИП и Конфедерация Швейцария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 Изложеното налага 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се допълнят </w:t>
      </w:r>
      <w:r w:rsidR="00DC7AA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съответните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>членове</w:t>
      </w:r>
      <w:r w:rsidR="00DC7AA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ЗТ в Глава седма</w:t>
      </w:r>
      <w:r w:rsidR="009E5B8E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DC7AA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като  навсякъде</w:t>
      </w:r>
      <w:r w:rsidR="009E5B8E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DC7AA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>където е относимо</w:t>
      </w:r>
      <w:r w:rsidR="009E5B8E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0A69C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C7AA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след </w:t>
      </w:r>
      <w:r w:rsidR="008250E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C7AA6" w:rsidRP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думите "Конфедерация Швейцария" се добавя "и на държавите, които прилагат </w:t>
      </w:r>
      <w:r w:rsidR="00DC7AA6" w:rsidRPr="00DC7AA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DC7AA6" w:rsidRPr="00DC7AA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икономическо сътрудничество и развитие</w:t>
      </w:r>
      <w:r w:rsidR="00DC7AA6" w:rsidRP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". </w:t>
      </w:r>
      <w:r w:rsid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По този на</w:t>
      </w:r>
      <w:r w:rsidR="009E5B8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чин се разширява кръгът</w:t>
      </w:r>
      <w:r w:rsid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лицата, които имат право да извършват дейност като туроператор и/или туристически агент на територията на Република България, като до пазара на услуги се</w:t>
      </w:r>
      <w:r w:rsidR="000A69C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ще се</w:t>
      </w:r>
      <w:r w:rsid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допускат и лицата от държавите-членки на ОИСР, които са извън ЕС</w:t>
      </w:r>
      <w:r w:rsidR="000A69C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ЕИП и Конфедерация Швейцария, </w:t>
      </w:r>
      <w:r w:rsidR="007D2C3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</w:t>
      </w:r>
      <w:r w:rsidR="000A69C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 този начин се изравняват изискванията</w:t>
      </w:r>
      <w:r w:rsidR="00A8700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 които ще  се прилагат спрямо тях сравнимо с изискванията към </w:t>
      </w:r>
      <w:r w:rsidR="000A69C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българските туроператори и туристически агенти и не се допуска неравнопоставеност</w:t>
      </w:r>
      <w:r w:rsid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2D4FD7" w:rsidRPr="002D4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 </w:t>
      </w:r>
    </w:p>
    <w:p w14:paraId="766662D6" w14:textId="5728EA48" w:rsidR="002D4FD7" w:rsidRDefault="002D4FD7" w:rsidP="002D4F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2D4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             Аналогично,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като</w:t>
      </w:r>
      <w:r w:rsidRPr="002D4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допълнение на действащия ЗТ с настоящия проект е предвидено и в Глава осма „Хотелиерство и ресторантьорство“ Раздел I „Хотелиерска и ресторантьорска дейност“ в частност в чл. 113, ал. 1, т. 1, като след думите  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развитие".  </w:t>
      </w:r>
      <w:r w:rsidR="002F642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Допълнение се предвижда и в чл. 129, ал.1, т. 1, б. „б“ и ал. 3, б. „б“, като след </w:t>
      </w:r>
      <w:r w:rsidR="002F6425" w:rsidRP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думите "Конфедерация Швейцария" се добавя "и на държавите, които прилагат </w:t>
      </w:r>
      <w:r w:rsidR="002F6425" w:rsidRPr="00DC7AA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2F6425" w:rsidRPr="00DC7AA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икономическо сътрудничество и развитие</w:t>
      </w:r>
      <w:r w:rsidR="002F6425" w:rsidRPr="00DC7AA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"</w:t>
      </w:r>
      <w:r w:rsidR="0086088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</w:p>
    <w:p w14:paraId="50EA9B4F" w14:textId="4C5B118A" w:rsidR="002D4FD7" w:rsidRPr="002D4FD7" w:rsidRDefault="002D4FD7" w:rsidP="002D4F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             Допълнение </w:t>
      </w:r>
      <w:r w:rsidR="005E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в същия контекст със законопроекта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се предвижда и в чл. 140, ал.1, т.1 </w:t>
      </w:r>
      <w:r w:rsidR="002F6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 ал. 2, т.1, б. „б“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от ЗТ по отношение на доставчиците на </w:t>
      </w:r>
      <w:r w:rsidR="005E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услуги от държавите-членки на ОИСР, които са извън ЕС в сертифицирани по реда на закона балнеолечебни, СПА, уелнес и таласотерапевтични услуги, както и по отношение на ски училищата – допълва се чл. 143б, ал. 1, т. 1, чл. 143б, ал. 2, т.2 и чл. 143е, ал. 1 от ЗТ, като навсякъде,</w:t>
      </w:r>
      <w:r w:rsidR="005E251F" w:rsidRPr="005E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9E5B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след </w:t>
      </w:r>
      <w:r w:rsidR="005E251F" w:rsidRPr="005E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развитие".  </w:t>
      </w:r>
    </w:p>
    <w:p w14:paraId="5355115F" w14:textId="77777777" w:rsidR="009E5B8E" w:rsidRDefault="005E251F" w:rsidP="005E25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</w:t>
      </w:r>
      <w:r w:rsidR="002D4FD7">
        <w:rPr>
          <w:rFonts w:ascii="Times New Roman" w:hAnsi="Times New Roman" w:cs="Times New Roman"/>
          <w:bCs/>
          <w:sz w:val="24"/>
          <w:szCs w:val="24"/>
          <w:lang w:val="bg-BG"/>
        </w:rPr>
        <w:t>Кат</w:t>
      </w:r>
      <w:r w:rsidR="007D2C3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 </w:t>
      </w:r>
      <w:r w:rsidR="002D4FD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друга важна </w:t>
      </w:r>
      <w:r w:rsidR="007D2C3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тема относно регулаторните режими, прогласени със Закона на туризма, </w:t>
      </w:r>
      <w:r w:rsidR="007D2C35" w:rsidRPr="007D2C35">
        <w:rPr>
          <w:rFonts w:ascii="Times New Roman" w:hAnsi="Times New Roman" w:cs="Times New Roman"/>
          <w:bCs/>
          <w:sz w:val="24"/>
          <w:szCs w:val="24"/>
          <w:lang w:val="bg-BG"/>
        </w:rPr>
        <w:t>Инвестиционният комитет на ОИСР е посочил</w:t>
      </w:r>
      <w:r w:rsidR="007D2C3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наличното </w:t>
      </w:r>
      <w:r w:rsidR="007D2C35" w:rsidRPr="007D2C3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7D2C35">
        <w:rPr>
          <w:rFonts w:ascii="Times New Roman" w:hAnsi="Times New Roman" w:cs="Times New Roman"/>
          <w:bCs/>
          <w:sz w:val="24"/>
          <w:szCs w:val="24"/>
          <w:lang w:val="bg-BG"/>
        </w:rPr>
        <w:t>ограничаване спрямо лица</w:t>
      </w:r>
      <w:r w:rsidR="00A87000">
        <w:rPr>
          <w:rFonts w:ascii="Times New Roman" w:hAnsi="Times New Roman" w:cs="Times New Roman"/>
          <w:bCs/>
          <w:sz w:val="24"/>
          <w:szCs w:val="24"/>
          <w:lang w:val="bg-BG"/>
        </w:rPr>
        <w:t>та,</w:t>
      </w:r>
      <w:r w:rsidR="002D4FD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които упражняват професи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ите</w:t>
      </w:r>
      <w:r w:rsidR="002D4FD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„екскурзовод“, „планински водач“ и „ски учител“,</w:t>
      </w:r>
      <w:r w:rsid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които са граждани на държава-членка на ОИСР, която е извън ЕС.  Съобразно </w:t>
      </w:r>
      <w:r w:rsidR="00A87000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нормите на Глава Дванадесета от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действа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щия</w:t>
      </w:r>
      <w:r w:rsid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ЗТ</w:t>
      </w:r>
      <w:r w:rsidR="00A87000" w:rsidRPr="00A87000">
        <w:rPr>
          <w:rFonts w:ascii="Tahoma" w:eastAsia="Times New Roman" w:hAnsi="Tahoma" w:cs="Tahoma"/>
          <w:color w:val="000000"/>
          <w:lang w:val="bg-BG" w:eastAsia="bg-BG"/>
        </w:rPr>
        <w:t xml:space="preserve"> </w:t>
      </w:r>
      <w:r w:rsidR="00A87000">
        <w:rPr>
          <w:rFonts w:ascii="Tahoma" w:eastAsia="Times New Roman" w:hAnsi="Tahoma" w:cs="Tahoma"/>
          <w:color w:val="000000"/>
          <w:lang w:val="bg-BG" w:eastAsia="bg-BG"/>
        </w:rPr>
        <w:t>з</w:t>
      </w:r>
      <w:r w:rsidR="00A87000" w:rsidRPr="00A87000">
        <w:rPr>
          <w:rFonts w:ascii="Times New Roman" w:hAnsi="Times New Roman" w:cs="Times New Roman"/>
          <w:bCs/>
          <w:sz w:val="24"/>
          <w:szCs w:val="24"/>
          <w:lang w:val="bg-BG"/>
        </w:rPr>
        <w:t>а упражняване на професи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ите</w:t>
      </w:r>
      <w:r w:rsidR="00A87000" w:rsidRP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е необходимо съответното лице да притежава правоспособност за извършване на дейността и да бъде вписано в Националния туристически регистър.</w:t>
      </w:r>
      <w:r w:rsid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01884407" w14:textId="77777777" w:rsidR="00A87000" w:rsidRDefault="00A87000" w:rsidP="00BF3D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87000">
        <w:rPr>
          <w:rFonts w:ascii="Times New Roman" w:hAnsi="Times New Roman" w:cs="Times New Roman"/>
          <w:bCs/>
          <w:sz w:val="24"/>
          <w:szCs w:val="24"/>
          <w:lang w:val="bg-BG"/>
        </w:rPr>
        <w:t>Правоспособност за упражняване на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професиите по чл. 146, ал. 1 ЗТ</w:t>
      </w:r>
      <w:r w:rsidRP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може да придобие всеки дееспособен български гражданин или гражданин на държава - членка на Европейския съюз, и на държава - страна по Споразумението за Европейското икономическо пространство, или на Конфедерация Швейцария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Pr="00A87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63A68434" w14:textId="0031E8F0" w:rsidR="007F565F" w:rsidRDefault="00592F1C" w:rsidP="00592F1C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В</w:t>
      </w:r>
      <w:r w:rsidR="003869A1">
        <w:rPr>
          <w:rFonts w:ascii="Times New Roman" w:hAnsi="Times New Roman" w:cs="Times New Roman"/>
          <w:bCs/>
          <w:sz w:val="24"/>
          <w:szCs w:val="24"/>
          <w:lang w:val="bg-BG"/>
        </w:rPr>
        <w:t>ъв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връзка</w:t>
      </w:r>
      <w:r w:rsidR="003869A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 горното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и в контекста на </w:t>
      </w:r>
      <w:r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необходимостта от привеждане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Закона за туризма</w:t>
      </w:r>
      <w:r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съответствие с Кодексите за либерализация на Организацията за икономическо сътрудничество и развитие с цел изравняване на изискванията към екскурзоводи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те,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планинските водачи и ски учителите</w:t>
      </w:r>
      <w:r w:rsidR="007F565F" w:rsidRPr="007F56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7F565F">
        <w:rPr>
          <w:rFonts w:ascii="Times New Roman" w:hAnsi="Times New Roman" w:cs="Times New Roman"/>
          <w:bCs/>
          <w:sz w:val="24"/>
          <w:szCs w:val="24"/>
          <w:lang w:val="bg-BG"/>
        </w:rPr>
        <w:t>за придобиване на правоспособност, в чл. 146, ал. 3</w:t>
      </w:r>
      <w:r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</w:t>
      </w:r>
      <w:r w:rsidR="00755E85" w:rsidRPr="00755E85">
        <w:rPr>
          <w:rFonts w:ascii="Times New Roman" w:hAnsi="Times New Roman" w:cs="Times New Roman"/>
          <w:bCs/>
          <w:sz w:val="24"/>
          <w:szCs w:val="24"/>
          <w:lang w:val="bg-BG"/>
        </w:rPr>
        <w:t>, ако отговаря на условията за придобиване на правоспособност за упражняване на професията в Република България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755E85" w:rsidRPr="00755E8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</w:p>
    <w:p w14:paraId="062A998F" w14:textId="77777777" w:rsidR="00592F1C" w:rsidRPr="00592F1C" w:rsidRDefault="007F565F" w:rsidP="00BF3D2B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останалите разпоредби на посочената глава, където е относимо, </w:t>
      </w:r>
      <w:r w:rsidRPr="00592F1C">
        <w:rPr>
          <w:rFonts w:ascii="Times New Roman" w:hAnsi="Times New Roman" w:cs="Times New Roman"/>
          <w:bCs/>
          <w:sz w:val="24"/>
          <w:szCs w:val="24"/>
          <w:lang w:val="bg-BG"/>
        </w:rPr>
        <w:t>след  думите "Конфедерация Швейцария" се добавя "и на държавите, които прилагат  Кодексите за либерализация на движението на капитали и на текущите невидими операции на Организацията за икономическо сътрудничество и развитие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“. По този начин се разширява кръгът</w:t>
      </w:r>
      <w:r w:rsidR="00592F1C"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лицата, които имат право да 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>упражняват професи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>ите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„екскурзовод“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>, „планински водач“ и „ски учител“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</w:t>
      </w:r>
      <w:r w:rsidR="00592F1C" w:rsidRPr="00592F1C">
        <w:rPr>
          <w:rFonts w:ascii="Times New Roman" w:hAnsi="Times New Roman" w:cs="Times New Roman"/>
          <w:bCs/>
          <w:sz w:val="24"/>
          <w:szCs w:val="24"/>
          <w:lang w:val="bg-BG"/>
        </w:rPr>
        <w:t>територията на Република България, като до пазара на услуги се ще се допускат и лицата от държавите-членки на ОИСР, които са извън ЕС, ЕИП и Конфедерация Швейцария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 изравнени </w:t>
      </w:r>
      <w:r w:rsidR="00592F1C" w:rsidRPr="00592F1C">
        <w:rPr>
          <w:rFonts w:ascii="Times New Roman" w:hAnsi="Times New Roman" w:cs="Times New Roman"/>
          <w:bCs/>
          <w:sz w:val="24"/>
          <w:szCs w:val="24"/>
          <w:lang w:val="bg-BG"/>
        </w:rPr>
        <w:t>изисквания,  които ще  се прилагат спрямо тях сравнимо с изискванията към българските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европейските</w:t>
      </w:r>
      <w:r w:rsidR="00592F1C"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>екскурзоводи</w:t>
      </w:r>
      <w:r w:rsidR="00755E85">
        <w:rPr>
          <w:rFonts w:ascii="Times New Roman" w:hAnsi="Times New Roman" w:cs="Times New Roman"/>
          <w:bCs/>
          <w:sz w:val="24"/>
          <w:szCs w:val="24"/>
          <w:lang w:val="bg-BG"/>
        </w:rPr>
        <w:t>, планински водачи и ски учители</w:t>
      </w:r>
      <w:r w:rsid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592F1C" w:rsidRPr="00592F1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не се допуска неравнопоставеност. </w:t>
      </w:r>
    </w:p>
    <w:p w14:paraId="2B51B9A6" w14:textId="77777777" w:rsidR="00592F1C" w:rsidRDefault="0066323F" w:rsidP="00A87000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С предлагания проект на Закон за допълнение на Закона за туризма ще се изпълни препоръката на Инвестиционния комитет на ОИСР относно </w:t>
      </w:r>
      <w:r w:rsidR="00D318C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недискриминация на доставчиците на туристически услуги на територията на Република България. </w:t>
      </w:r>
    </w:p>
    <w:p w14:paraId="794BDFB5" w14:textId="219468E9" w:rsidR="00915ED6" w:rsidRDefault="00915ED6" w:rsidP="00A87000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Приложеният проект на нормативен акт няма да окаже финансово въздействие върху държавния бюджет. За прилагането на новата правна уредба няма да бъдат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необходими допълнителни разходи/трансфери/други плащания</w:t>
      </w:r>
      <w:r w:rsidR="007F56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които да бъдат одобрени по бюджета на Министерството на туризма. </w:t>
      </w:r>
    </w:p>
    <w:p w14:paraId="6ED20AC0" w14:textId="77777777" w:rsidR="00915ED6" w:rsidRDefault="00915ED6" w:rsidP="00A87000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Проектът на Закон за допълнение на Закона за туризма не съдържа разпоредби, въвеждащи актове на Европейския съюз, поради което не е приложена таблица за съответствие с правото на Европейския съюз. </w:t>
      </w:r>
    </w:p>
    <w:p w14:paraId="0AF36C74" w14:textId="77777777" w:rsidR="00915ED6" w:rsidRDefault="00915ED6" w:rsidP="00A87000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В изпълнение на чл. 20, ал.2 от Закона за нормативните актове е извършена частична предварителна оценка на въздействието на проекта на акт. </w:t>
      </w:r>
    </w:p>
    <w:p w14:paraId="379445A1" w14:textId="77777777" w:rsidR="00915ED6" w:rsidRPr="00003FD9" w:rsidRDefault="00915ED6" w:rsidP="00A87000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Съгласно чл. 26, ал. 3 от Закона за нормативните актове проектът на акт, заедно с доклада към него,   частичната предварителна оценка на въздействието и становището на дирекция </w:t>
      </w:r>
      <w:r w:rsidR="00003FD9" w:rsidRPr="00003FD9">
        <w:rPr>
          <w:rFonts w:ascii="Times New Roman" w:hAnsi="Times New Roman" w:cs="Times New Roman"/>
          <w:bCs/>
          <w:sz w:val="24"/>
          <w:szCs w:val="24"/>
        </w:rPr>
        <w:t xml:space="preserve">„Координация и модернизация на администрацията" </w:t>
      </w:r>
      <w:r w:rsidR="00003F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</w:t>
      </w:r>
      <w:r w:rsidR="0065317D">
        <w:rPr>
          <w:rFonts w:ascii="Times New Roman" w:hAnsi="Times New Roman" w:cs="Times New Roman"/>
          <w:bCs/>
          <w:sz w:val="24"/>
          <w:szCs w:val="24"/>
          <w:lang w:val="bg-BG"/>
        </w:rPr>
        <w:t>М</w:t>
      </w:r>
      <w:r w:rsidR="00003F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инистерския съвет </w:t>
      </w:r>
      <w:r w:rsidR="0065317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са публикувани на интернет страницата на Министерството на туризма и на Портала за обществени консултации към МС, като на заинтересованите лица се предостави 30 срок за предложение и становища по законопроекта. </w:t>
      </w:r>
    </w:p>
    <w:p w14:paraId="4E4000C3" w14:textId="77777777" w:rsidR="00A87000" w:rsidRDefault="00915ED6" w:rsidP="00DC7AA6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</w:t>
      </w:r>
    </w:p>
    <w:p w14:paraId="086A196D" w14:textId="77777777" w:rsidR="00A87000" w:rsidRDefault="00915ED6" w:rsidP="00DC7AA6">
      <w:pPr>
        <w:spacing w:line="360" w:lineRule="auto"/>
        <w:ind w:hanging="567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</w:t>
      </w:r>
    </w:p>
    <w:p w14:paraId="695E233E" w14:textId="77777777" w:rsidR="00C67A9B" w:rsidRPr="007B50C3" w:rsidRDefault="00A87000" w:rsidP="00D318CE">
      <w:pPr>
        <w:spacing w:line="36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5B7AE7A6" w14:textId="77777777" w:rsidR="006F6C56" w:rsidRPr="007B50C3" w:rsidRDefault="006F6C56" w:rsidP="00DC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F6C56" w:rsidRPr="007B50C3" w:rsidSect="00C1197B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A11B1" w14:textId="77777777" w:rsidR="00DF5F22" w:rsidRDefault="00DF5F22" w:rsidP="001833CC">
      <w:pPr>
        <w:spacing w:after="0" w:line="240" w:lineRule="auto"/>
      </w:pPr>
      <w:r>
        <w:separator/>
      </w:r>
    </w:p>
  </w:endnote>
  <w:endnote w:type="continuationSeparator" w:id="0">
    <w:p w14:paraId="3B42EA0F" w14:textId="77777777" w:rsidR="00DF5F22" w:rsidRDefault="00DF5F22" w:rsidP="0018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AAC6E" w14:textId="77777777" w:rsidR="00DF5F22" w:rsidRDefault="00DF5F22" w:rsidP="001833CC">
      <w:pPr>
        <w:spacing w:after="0" w:line="240" w:lineRule="auto"/>
      </w:pPr>
      <w:r>
        <w:separator/>
      </w:r>
    </w:p>
  </w:footnote>
  <w:footnote w:type="continuationSeparator" w:id="0">
    <w:p w14:paraId="090969B3" w14:textId="77777777" w:rsidR="00DF5F22" w:rsidRDefault="00DF5F22" w:rsidP="0018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932322"/>
      <w:docPartObj>
        <w:docPartGallery w:val="Page Numbers (Margins)"/>
        <w:docPartUnique/>
      </w:docPartObj>
    </w:sdtPr>
    <w:sdtEndPr/>
    <w:sdtContent>
      <w:p w14:paraId="134F915C" w14:textId="77777777" w:rsidR="00003FD9" w:rsidRDefault="00003FD9">
        <w:pPr>
          <w:pStyle w:val="Header"/>
        </w:pPr>
        <w:r>
          <w:rPr>
            <w:noProof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05D7BD" wp14:editId="4D32571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B059" w14:textId="57CFFD3C" w:rsidR="00003FD9" w:rsidRDefault="00003FD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C1AFD" w:rsidRPr="00AC1AF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05D7BD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F43B059" w14:textId="57CFFD3C" w:rsidR="00003FD9" w:rsidRDefault="00003FD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C1AFD" w:rsidRPr="00AC1AF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642C"/>
    <w:multiLevelType w:val="multilevel"/>
    <w:tmpl w:val="88663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DC"/>
    <w:rsid w:val="00003FD9"/>
    <w:rsid w:val="000A69CD"/>
    <w:rsid w:val="000B7BD3"/>
    <w:rsid w:val="000F1564"/>
    <w:rsid w:val="000F67A8"/>
    <w:rsid w:val="001024AF"/>
    <w:rsid w:val="001833CC"/>
    <w:rsid w:val="001E2E52"/>
    <w:rsid w:val="00210E2D"/>
    <w:rsid w:val="002D4FD7"/>
    <w:rsid w:val="002F6425"/>
    <w:rsid w:val="00311E19"/>
    <w:rsid w:val="00341067"/>
    <w:rsid w:val="0036628E"/>
    <w:rsid w:val="003869A1"/>
    <w:rsid w:val="003C2ACF"/>
    <w:rsid w:val="00411F31"/>
    <w:rsid w:val="00424628"/>
    <w:rsid w:val="00487D14"/>
    <w:rsid w:val="0058257E"/>
    <w:rsid w:val="00592F1C"/>
    <w:rsid w:val="0059589E"/>
    <w:rsid w:val="005C4E9D"/>
    <w:rsid w:val="005D56B7"/>
    <w:rsid w:val="005E251F"/>
    <w:rsid w:val="005F4B44"/>
    <w:rsid w:val="0060596F"/>
    <w:rsid w:val="0065317D"/>
    <w:rsid w:val="0065648B"/>
    <w:rsid w:val="0066323F"/>
    <w:rsid w:val="006F6C56"/>
    <w:rsid w:val="00716D5D"/>
    <w:rsid w:val="00720EF8"/>
    <w:rsid w:val="00755E85"/>
    <w:rsid w:val="00795064"/>
    <w:rsid w:val="007B50C3"/>
    <w:rsid w:val="007D2C35"/>
    <w:rsid w:val="007E2093"/>
    <w:rsid w:val="007F565F"/>
    <w:rsid w:val="008250E5"/>
    <w:rsid w:val="00831A01"/>
    <w:rsid w:val="00860882"/>
    <w:rsid w:val="00915ED6"/>
    <w:rsid w:val="00942108"/>
    <w:rsid w:val="00950EC8"/>
    <w:rsid w:val="009E5B8E"/>
    <w:rsid w:val="00A17060"/>
    <w:rsid w:val="00A77114"/>
    <w:rsid w:val="00A87000"/>
    <w:rsid w:val="00AB5B60"/>
    <w:rsid w:val="00AC1AFD"/>
    <w:rsid w:val="00B253DC"/>
    <w:rsid w:val="00B65D00"/>
    <w:rsid w:val="00BF3D2B"/>
    <w:rsid w:val="00C1197B"/>
    <w:rsid w:val="00C67A9B"/>
    <w:rsid w:val="00CA00E6"/>
    <w:rsid w:val="00CE1B42"/>
    <w:rsid w:val="00CF3F65"/>
    <w:rsid w:val="00D318CE"/>
    <w:rsid w:val="00D40168"/>
    <w:rsid w:val="00DC7AA6"/>
    <w:rsid w:val="00DF5F22"/>
    <w:rsid w:val="00E82289"/>
    <w:rsid w:val="00F06F26"/>
    <w:rsid w:val="00F43D4B"/>
    <w:rsid w:val="00FB76E4"/>
    <w:rsid w:val="00FC09A4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1716B"/>
  <w15:chartTrackingRefBased/>
  <w15:docId w15:val="{9882CD77-65C8-4CB7-86E4-05004B75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C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CC"/>
  </w:style>
  <w:style w:type="paragraph" w:styleId="Footer">
    <w:name w:val="footer"/>
    <w:basedOn w:val="Normal"/>
    <w:link w:val="FooterChar"/>
    <w:uiPriority w:val="99"/>
    <w:unhideWhenUsed/>
    <w:rsid w:val="00183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CC"/>
  </w:style>
  <w:style w:type="paragraph" w:styleId="BalloonText">
    <w:name w:val="Balloon Text"/>
    <w:basedOn w:val="Normal"/>
    <w:link w:val="BalloonTextChar"/>
    <w:uiPriority w:val="99"/>
    <w:semiHidden/>
    <w:unhideWhenUsed/>
    <w:rsid w:val="009E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2024-10-17T13:51:00Z</dcterms:created>
  <dcterms:modified xsi:type="dcterms:W3CDTF">2025-05-09T14:32:00Z</dcterms:modified>
</cp:coreProperties>
</file>