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172"/>
        <w:gridCol w:w="709"/>
        <w:gridCol w:w="2126"/>
        <w:gridCol w:w="2969"/>
        <w:gridCol w:w="8"/>
        <w:gridCol w:w="6"/>
      </w:tblGrid>
      <w:tr w:rsidR="00DC47E2" w:rsidRPr="00DC47E2" w14:paraId="6A99A40C" w14:textId="77777777" w:rsidTr="00953C6E">
        <w:tc>
          <w:tcPr>
            <w:tcW w:w="10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194CCE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194CCE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194CCE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937499">
        <w:trPr>
          <w:gridAfter w:val="2"/>
          <w:wAfter w:w="14" w:type="dxa"/>
          <w:trHeight w:val="588"/>
        </w:trPr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CA7753">
              <w:rPr>
                <w:shd w:val="clear" w:color="auto" w:fill="FFFFFF" w:themeFill="background1"/>
              </w:rPr>
            </w:r>
            <w:r w:rsidR="00CA7753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937499">
        <w:trPr>
          <w:gridAfter w:val="2"/>
          <w:wAfter w:w="14" w:type="dxa"/>
          <w:trHeight w:val="568"/>
        </w:trPr>
        <w:tc>
          <w:tcPr>
            <w:tcW w:w="4954" w:type="dxa"/>
            <w:gridSpan w:val="3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17D004C7" w:rsidR="00DC47E2" w:rsidRPr="00DC47E2" w:rsidRDefault="00937499" w:rsidP="00937499">
            <w:pPr>
              <w:pStyle w:val="02"/>
              <w:ind w:firstLine="0"/>
            </w:pPr>
            <w:r w:rsidRPr="00937499">
              <w:t xml:space="preserve">Закон за изменение и допълнение </w:t>
            </w:r>
            <w:r>
              <w:t xml:space="preserve">на Закона за туризма </w:t>
            </w: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953C6E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6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953C6E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CA7753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53C6E">
        <w:trPr>
          <w:gridAfter w:val="2"/>
          <w:wAfter w:w="14" w:type="dxa"/>
          <w:trHeight w:val="644"/>
        </w:trPr>
        <w:tc>
          <w:tcPr>
            <w:tcW w:w="4954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953C6E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953C6E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6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7675BA" w:rsidP="00953C6E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937499">
        <w:trPr>
          <w:gridAfter w:val="2"/>
          <w:wAfter w:w="14" w:type="dxa"/>
          <w:trHeight w:val="596"/>
        </w:trPr>
        <w:tc>
          <w:tcPr>
            <w:tcW w:w="4954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953C6E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953C6E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6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E16D8C8" w:rsidR="00DC47E2" w:rsidRPr="00DC47E2" w:rsidRDefault="00937499" w:rsidP="00953C6E">
            <w:pPr>
              <w:jc w:val="left"/>
            </w:pPr>
            <w:r>
              <w:t>Т-03-00-155/02.05.2025</w:t>
            </w:r>
          </w:p>
        </w:tc>
      </w:tr>
      <w:tr w:rsidR="00DC47E2" w:rsidRPr="00DC47E2" w14:paraId="28582966" w14:textId="77777777" w:rsidTr="00937499">
        <w:trPr>
          <w:gridAfter w:val="2"/>
          <w:wAfter w:w="14" w:type="dxa"/>
          <w:trHeight w:val="686"/>
        </w:trPr>
        <w:tc>
          <w:tcPr>
            <w:tcW w:w="4954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953C6E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953C6E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69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794BA7" w14:textId="0DF581D0" w:rsidR="00DC47E2" w:rsidRPr="00DC47E2" w:rsidRDefault="00937499" w:rsidP="00953C6E">
            <w:pPr>
              <w:jc w:val="left"/>
            </w:pPr>
            <w:r>
              <w:t>Министерство на туризма</w:t>
            </w:r>
          </w:p>
        </w:tc>
      </w:tr>
      <w:tr w:rsidR="00DC47E2" w:rsidRPr="00DC47E2" w14:paraId="3C02C3E8" w14:textId="77777777" w:rsidTr="00D940A1">
        <w:trPr>
          <w:trHeight w:val="430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79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7777777" w:rsidR="00DC47E2" w:rsidRPr="00DC47E2" w:rsidRDefault="00CA7753" w:rsidP="00C56E4D">
            <w:pPr>
              <w:spacing w:line="240" w:lineRule="auto"/>
              <w:jc w:val="left"/>
            </w:pPr>
            <w:hyperlink w:anchor="Dropdown3" w:tooltip="Съобразете текста от раздела с ограниченията спрямо диспозитива." w:history="1">
              <w:r w:rsidR="00DC47E2" w:rsidRPr="00DC47E2"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r w:rsidR="00DC47E2" w:rsidRPr="00DC47E2">
                <w:instrText xml:space="preserve"> FORMDROPDOWN </w:instrText>
              </w:r>
              <w:r>
                <w:fldChar w:fldCharType="separate"/>
              </w:r>
              <w:r w:rsidR="00DC47E2" w:rsidRPr="00DC47E2">
                <w:fldChar w:fldCharType="end"/>
              </w:r>
            </w:hyperlink>
          </w:p>
        </w:tc>
      </w:tr>
      <w:tr w:rsidR="00DC47E2" w:rsidRPr="00DC47E2" w14:paraId="21F90AEC" w14:textId="77777777" w:rsidTr="00D940A1">
        <w:trPr>
          <w:gridAfter w:val="1"/>
          <w:wAfter w:w="6" w:type="dxa"/>
          <w:trHeight w:val="522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17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7777777" w:rsidR="00DC47E2" w:rsidRPr="00DC47E2" w:rsidRDefault="00DC47E2" w:rsidP="00D940A1">
            <w:pPr>
              <w:spacing w:line="240" w:lineRule="auto"/>
              <w:jc w:val="left"/>
            </w:pPr>
            <w:r w:rsidRPr="00DC47E2">
              <w:t>Чл. 30б, ал. 3, т. 2, б. “а</w:t>
            </w:r>
            <w:r w:rsidRPr="00DC47E2">
              <w:rPr>
                <w:lang w:val="ru-RU"/>
              </w:rPr>
              <w:t>”</w:t>
            </w:r>
          </w:p>
        </w:tc>
        <w:tc>
          <w:tcPr>
            <w:tcW w:w="5812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940A1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E2F6D" w:rsidRPr="007B3927" w14:paraId="54E3E36B" w14:textId="77777777" w:rsidTr="00C56E4D">
        <w:tc>
          <w:tcPr>
            <w:tcW w:w="9923" w:type="dxa"/>
            <w:shd w:val="clear" w:color="auto" w:fill="FFFFFF" w:themeFill="background1"/>
          </w:tcPr>
          <w:p w14:paraId="4C66B06B" w14:textId="4107BC5C" w:rsidR="00680D75" w:rsidRPr="00680D75" w:rsidRDefault="00CC6DE0" w:rsidP="00CC6DE0">
            <w:pPr>
              <w:pStyle w:val="Heading1"/>
              <w:outlineLvl w:val="0"/>
            </w:pPr>
            <w:r w:rsidRPr="00CC6DE0">
              <w:t>Относно раздел 4 „Варианти на действие. Анализ на въздействията:”</w:t>
            </w:r>
          </w:p>
          <w:p w14:paraId="3AF35ED5" w14:textId="5FB9E303" w:rsidR="002A359C" w:rsidRDefault="00D75708" w:rsidP="0066337A">
            <w:pPr>
              <w:pStyle w:val="02"/>
            </w:pPr>
            <w:r>
              <w:t xml:space="preserve">Възприетият подход за </w:t>
            </w:r>
            <w:r w:rsidR="006B7A06">
              <w:t>разгле</w:t>
            </w:r>
            <w:r>
              <w:t>ж</w:t>
            </w:r>
            <w:r w:rsidR="006B7A06">
              <w:t>да</w:t>
            </w:r>
            <w:r>
              <w:t>не на</w:t>
            </w:r>
            <w:r w:rsidR="006B7A06">
              <w:t xml:space="preserve"> </w:t>
            </w:r>
            <w:r w:rsidR="006B7A06" w:rsidRPr="006B7A06">
              <w:t>Вариант 3 „Ненормативна намеса“</w:t>
            </w:r>
            <w:r>
              <w:t xml:space="preserve"> не е уместен</w:t>
            </w:r>
            <w:r w:rsidR="00D85D2F">
              <w:t xml:space="preserve"> в настоящия контекст</w:t>
            </w:r>
            <w:r>
              <w:t>.</w:t>
            </w:r>
            <w:r w:rsidR="006B7A06">
              <w:t xml:space="preserve"> </w:t>
            </w:r>
            <w:r>
              <w:t xml:space="preserve">С оглед на това, че </w:t>
            </w:r>
            <w:r w:rsidRPr="00D75708">
              <w:t>Кодекс</w:t>
            </w:r>
            <w:r w:rsidR="00D85D2F">
              <w:t>ът</w:t>
            </w:r>
            <w:r w:rsidRPr="00D75708">
              <w:t xml:space="preserve"> за либерализация на движението на капитали и Кодекс</w:t>
            </w:r>
            <w:r w:rsidR="00D85D2F">
              <w:t>ът</w:t>
            </w:r>
            <w:r w:rsidRPr="00D75708">
              <w:t xml:space="preserve"> за либерализация на текущите</w:t>
            </w:r>
            <w:r>
              <w:t xml:space="preserve"> невидими операции </w:t>
            </w:r>
            <w:r w:rsidRPr="00D75708">
              <w:t xml:space="preserve">имат правен статут на Решение на Съвета на Организацията за икономическо сътрудничество и развитие </w:t>
            </w:r>
            <w:r>
              <w:t>(</w:t>
            </w:r>
            <w:r w:rsidRPr="00D75708">
              <w:t>ОИСР</w:t>
            </w:r>
            <w:r>
              <w:t>)</w:t>
            </w:r>
            <w:r w:rsidRPr="00D75708">
              <w:t xml:space="preserve">, </w:t>
            </w:r>
            <w:r w:rsidR="00D85D2F">
              <w:t xml:space="preserve">и са </w:t>
            </w:r>
            <w:r w:rsidRPr="00D75708">
              <w:t>обвързващ</w:t>
            </w:r>
            <w:r w:rsidR="00D85D2F">
              <w:t>и</w:t>
            </w:r>
            <w:r w:rsidRPr="00D75708">
              <w:t xml:space="preserve"> за всички </w:t>
            </w:r>
            <w:r>
              <w:t>държави-членки на организацията</w:t>
            </w:r>
            <w:r w:rsidR="006B7A06" w:rsidRPr="006B7A06">
              <w:t xml:space="preserve">, предлагаме </w:t>
            </w:r>
            <w:r w:rsidR="004C45C1" w:rsidRPr="006B7A06">
              <w:t>Вариант 3</w:t>
            </w:r>
            <w:r w:rsidR="004C45C1">
              <w:t xml:space="preserve"> </w:t>
            </w:r>
            <w:r w:rsidR="006B7A06" w:rsidRPr="006B7A06">
              <w:t xml:space="preserve">да отпадне. </w:t>
            </w:r>
            <w:r w:rsidR="002A359C" w:rsidRPr="002A359C">
              <w:t xml:space="preserve">Ако все пак се предвиди неговото разглеждане, </w:t>
            </w:r>
            <w:r w:rsidR="00B81F2A">
              <w:t>то</w:t>
            </w:r>
            <w:r w:rsidR="002A359C" w:rsidRPr="002A359C">
              <w:t xml:space="preserve"> следва да бъде ясно формулиран и детайлно разработен.</w:t>
            </w:r>
          </w:p>
          <w:p w14:paraId="2B6D9C25" w14:textId="2D874F21" w:rsidR="00455C64" w:rsidRDefault="00950D96" w:rsidP="0066337A">
            <w:pPr>
              <w:pStyle w:val="02"/>
            </w:pPr>
            <w:r>
              <w:t xml:space="preserve">В раздела липсва </w:t>
            </w:r>
            <w:r w:rsidR="00D75708">
              <w:t xml:space="preserve">анализ на </w:t>
            </w:r>
            <w:r>
              <w:t>о</w:t>
            </w:r>
            <w:r w:rsidR="002555C1" w:rsidRPr="00012B33">
              <w:t>чакваните въздействия върху заинтересовани</w:t>
            </w:r>
            <w:r w:rsidR="0066337A">
              <w:t>те</w:t>
            </w:r>
            <w:r w:rsidR="002555C1" w:rsidRPr="00012B33">
              <w:t xml:space="preserve"> страни</w:t>
            </w:r>
            <w:r w:rsidR="0066337A">
              <w:t>.</w:t>
            </w:r>
            <w:r w:rsidR="002555C1" w:rsidRPr="00012B33">
              <w:t xml:space="preserve"> </w:t>
            </w:r>
            <w:r>
              <w:t xml:space="preserve">Необходимо е да </w:t>
            </w:r>
            <w:r w:rsidR="004C45C1">
              <w:t xml:space="preserve">бъдат разгледани </w:t>
            </w:r>
            <w:r w:rsidR="0066337A">
              <w:t xml:space="preserve">както </w:t>
            </w:r>
            <w:r w:rsidR="004C45C1">
              <w:t xml:space="preserve">потенциалните </w:t>
            </w:r>
            <w:r w:rsidR="0066337A">
              <w:t>положителните</w:t>
            </w:r>
            <w:r w:rsidR="00D75C08">
              <w:t xml:space="preserve"> ефекти</w:t>
            </w:r>
            <w:r w:rsidR="0066337A">
              <w:t xml:space="preserve">, така и </w:t>
            </w:r>
            <w:r w:rsidR="004C45C1">
              <w:t xml:space="preserve">възможните </w:t>
            </w:r>
            <w:r w:rsidR="00D85D2F">
              <w:t>негат</w:t>
            </w:r>
            <w:r w:rsidR="004C45C1">
              <w:t>ивни</w:t>
            </w:r>
            <w:r w:rsidR="00D85D2F">
              <w:t xml:space="preserve"> </w:t>
            </w:r>
            <w:r w:rsidR="00D75C08">
              <w:t>последствия</w:t>
            </w:r>
            <w:r w:rsidR="004C45C1">
              <w:t>,</w:t>
            </w:r>
            <w:r w:rsidR="0066337A">
              <w:t xml:space="preserve"> </w:t>
            </w:r>
            <w:r w:rsidR="00D75C08">
              <w:t xml:space="preserve">конкретно </w:t>
            </w:r>
            <w:r w:rsidR="00D85D2F">
              <w:t>за представителите на туристическия сектор и лицата</w:t>
            </w:r>
            <w:r w:rsidR="00FD0BC7" w:rsidRPr="00FD0BC7">
              <w:t>, предоставящи туристически услуги</w:t>
            </w:r>
            <w:r w:rsidR="00455C64">
              <w:t xml:space="preserve"> в България</w:t>
            </w:r>
            <w:r w:rsidR="002C526A">
              <w:t>, в това число:</w:t>
            </w:r>
            <w:r w:rsidR="00FD0BC7" w:rsidRPr="00FD0BC7">
              <w:t xml:space="preserve"> туроператори, туристически агенти, хотелиери, ресторантьори, </w:t>
            </w:r>
            <w:r w:rsidR="002C526A">
              <w:t xml:space="preserve">доставчици на </w:t>
            </w:r>
            <w:r w:rsidR="00FD0BC7" w:rsidRPr="00FD0BC7">
              <w:t>СПА, уелнес и таласотерапевтични услуги, екскурзоводи</w:t>
            </w:r>
            <w:r w:rsidR="002C526A">
              <w:t>, планински водачи и ски учители</w:t>
            </w:r>
            <w:r w:rsidR="0066337A">
              <w:t>.</w:t>
            </w:r>
            <w:r w:rsidR="00FD0BC7">
              <w:t xml:space="preserve"> </w:t>
            </w:r>
          </w:p>
          <w:p w14:paraId="67C15A9E" w14:textId="2DB1CF11" w:rsidR="006B7A06" w:rsidRDefault="004C45C1" w:rsidP="0066337A">
            <w:pPr>
              <w:pStyle w:val="02"/>
              <w:rPr>
                <w:rFonts w:eastAsia="Calibri"/>
              </w:rPr>
            </w:pPr>
            <w:r>
              <w:t>В то</w:t>
            </w:r>
            <w:r w:rsidR="00455C64">
              <w:t xml:space="preserve">зи </w:t>
            </w:r>
            <w:r w:rsidR="00D85D2F">
              <w:t xml:space="preserve">смисъл </w:t>
            </w:r>
            <w:r w:rsidR="00455C64">
              <w:t xml:space="preserve">следва да </w:t>
            </w:r>
            <w:r>
              <w:t>се уточни</w:t>
            </w:r>
            <w:r w:rsidR="00455C64">
              <w:t xml:space="preserve"> дали </w:t>
            </w:r>
            <w:r w:rsidR="00D85D2F">
              <w:t>с</w:t>
            </w:r>
            <w:r w:rsidR="00455C64">
              <w:t xml:space="preserve"> </w:t>
            </w:r>
            <w:r w:rsidR="00455C64" w:rsidRPr="00300FA8">
              <w:rPr>
                <w:rFonts w:eastAsia="Calibri"/>
              </w:rPr>
              <w:t>привеждане</w:t>
            </w:r>
            <w:r w:rsidR="00D85D2F">
              <w:rPr>
                <w:rFonts w:eastAsia="Calibri"/>
              </w:rPr>
              <w:t>то</w:t>
            </w:r>
            <w:r w:rsidR="00455C64" w:rsidRPr="00300FA8">
              <w:rPr>
                <w:rFonts w:eastAsia="Calibri"/>
              </w:rPr>
              <w:t xml:space="preserve"> на закона в съответствие с Кодексите за либерализация на </w:t>
            </w:r>
            <w:r w:rsidR="00455C64">
              <w:rPr>
                <w:rFonts w:eastAsia="Calibri"/>
              </w:rPr>
              <w:t>ОИСР</w:t>
            </w:r>
            <w:r>
              <w:rPr>
                <w:rFonts w:eastAsia="Calibri"/>
              </w:rPr>
              <w:t>,</w:t>
            </w:r>
            <w:r w:rsidR="00455C64">
              <w:rPr>
                <w:rFonts w:eastAsia="Calibri"/>
              </w:rPr>
              <w:t xml:space="preserve"> </w:t>
            </w:r>
            <w:r w:rsidR="00D85D2F">
              <w:rPr>
                <w:rFonts w:eastAsia="Calibri"/>
              </w:rPr>
              <w:t xml:space="preserve">българските представители на туристическия сектор </w:t>
            </w:r>
            <w:r w:rsidR="00455C64">
              <w:rPr>
                <w:rFonts w:eastAsia="Calibri"/>
              </w:rPr>
              <w:t xml:space="preserve">ще </w:t>
            </w:r>
            <w:r>
              <w:rPr>
                <w:rFonts w:eastAsia="Calibri"/>
              </w:rPr>
              <w:t xml:space="preserve">получат </w:t>
            </w:r>
            <w:r w:rsidR="00455C64">
              <w:rPr>
                <w:rFonts w:eastAsia="Calibri"/>
              </w:rPr>
              <w:t>реципрочн</w:t>
            </w:r>
            <w:r w:rsidR="00D85D2F">
              <w:rPr>
                <w:rFonts w:eastAsia="Calibri"/>
              </w:rPr>
              <w:t xml:space="preserve">и възможности за </w:t>
            </w:r>
            <w:r w:rsidR="00D75C08">
              <w:rPr>
                <w:rFonts w:eastAsia="Calibri"/>
              </w:rPr>
              <w:t>п</w:t>
            </w:r>
            <w:r w:rsidR="00455C64">
              <w:rPr>
                <w:rFonts w:eastAsia="Calibri"/>
              </w:rPr>
              <w:t>редоставя</w:t>
            </w:r>
            <w:r w:rsidR="00D85D2F">
              <w:rPr>
                <w:rFonts w:eastAsia="Calibri"/>
              </w:rPr>
              <w:t xml:space="preserve">не на </w:t>
            </w:r>
            <w:r w:rsidR="00455C64">
              <w:rPr>
                <w:rFonts w:eastAsia="Calibri"/>
              </w:rPr>
              <w:t>услуги в</w:t>
            </w:r>
            <w:r w:rsidR="00D75C08">
              <w:rPr>
                <w:rFonts w:eastAsia="Calibri"/>
              </w:rPr>
              <w:t>ъв</w:t>
            </w:r>
            <w:r w:rsidR="00D75C08">
              <w:t xml:space="preserve"> </w:t>
            </w:r>
            <w:r w:rsidR="00D75C08" w:rsidRPr="00D75C08">
              <w:rPr>
                <w:rFonts w:eastAsia="Calibri"/>
              </w:rPr>
              <w:t>всички държави-членки на организацията.</w:t>
            </w:r>
            <w:r w:rsidR="00455C64">
              <w:rPr>
                <w:rFonts w:eastAsia="Calibri"/>
              </w:rPr>
              <w:t xml:space="preserve"> </w:t>
            </w:r>
          </w:p>
          <w:p w14:paraId="30B5EBA5" w14:textId="7D03C358" w:rsidR="0066337A" w:rsidRDefault="004C45C1" w:rsidP="0066337A">
            <w:pPr>
              <w:pStyle w:val="02"/>
            </w:pPr>
            <w:r>
              <w:t xml:space="preserve">Ако се установи, </w:t>
            </w:r>
            <w:r w:rsidR="002C526A">
              <w:t xml:space="preserve">че </w:t>
            </w:r>
            <w:r w:rsidR="00FD0BC7" w:rsidRPr="00FD0BC7">
              <w:t xml:space="preserve">въздействията </w:t>
            </w:r>
            <w:r w:rsidR="00FD0BC7">
              <w:t xml:space="preserve">върху основните групи заинтересовани страни </w:t>
            </w:r>
            <w:r w:rsidR="00FD0BC7" w:rsidRPr="00FD0BC7">
              <w:t xml:space="preserve">са сходни, това </w:t>
            </w:r>
            <w:r w:rsidR="00D85D2F">
              <w:t xml:space="preserve">също </w:t>
            </w:r>
            <w:r w:rsidR="002C526A">
              <w:t>следва да бъде</w:t>
            </w:r>
            <w:r w:rsidR="00FD0BC7" w:rsidRPr="00FD0BC7">
              <w:t xml:space="preserve"> </w:t>
            </w:r>
            <w:r>
              <w:t>изрично</w:t>
            </w:r>
            <w:r w:rsidRPr="00FD0BC7">
              <w:t xml:space="preserve"> </w:t>
            </w:r>
            <w:r>
              <w:t>посочено</w:t>
            </w:r>
            <w:r w:rsidR="00FD0BC7" w:rsidRPr="00FD0BC7">
              <w:t>.</w:t>
            </w:r>
          </w:p>
          <w:p w14:paraId="098EDAC6" w14:textId="4C5C73D4" w:rsidR="002555C1" w:rsidRPr="00AF3046" w:rsidRDefault="00950D96" w:rsidP="002555C1">
            <w:pPr>
              <w:pStyle w:val="02"/>
            </w:pPr>
            <w:r>
              <w:t>Напомняме, че е н</w:t>
            </w:r>
            <w:r w:rsidR="0066337A">
              <w:t xml:space="preserve">еобходимо да </w:t>
            </w:r>
            <w:r w:rsidR="002C526A">
              <w:t xml:space="preserve">бъде извършена преценка </w:t>
            </w:r>
            <w:r>
              <w:t xml:space="preserve">на </w:t>
            </w:r>
            <w:r w:rsidR="00D75C08">
              <w:t>потенциалните икономически, социални</w:t>
            </w:r>
            <w:r w:rsidR="0066337A">
              <w:t xml:space="preserve"> </w:t>
            </w:r>
            <w:r w:rsidR="00D75C08">
              <w:t xml:space="preserve">и специфични </w:t>
            </w:r>
            <w:r w:rsidR="0066337A">
              <w:t>въздействия</w:t>
            </w:r>
            <w:r w:rsidR="00D75C08">
              <w:t>. П</w:t>
            </w:r>
            <w:r w:rsidR="002C526A">
              <w:t>р</w:t>
            </w:r>
            <w:r w:rsidR="004C45C1">
              <w:t xml:space="preserve">епоръчително е </w:t>
            </w:r>
            <w:r w:rsidR="0066337A">
              <w:t xml:space="preserve">прогнозите </w:t>
            </w:r>
            <w:r>
              <w:t xml:space="preserve">да </w:t>
            </w:r>
            <w:r w:rsidR="0066337A">
              <w:t>бъдат подкрепени с количествени и/или качествени индикатори.</w:t>
            </w:r>
            <w:r w:rsidR="002555C1" w:rsidRPr="006C1FD0">
              <w:t xml:space="preserve"> </w:t>
            </w:r>
            <w:r w:rsidR="00726388">
              <w:t xml:space="preserve">В тази </w:t>
            </w:r>
            <w:r w:rsidR="004C45C1">
              <w:t>насока</w:t>
            </w:r>
            <w:r w:rsidR="00726388">
              <w:t xml:space="preserve"> препоръчваме </w:t>
            </w:r>
            <w:r w:rsidR="0066337A">
              <w:t>п</w:t>
            </w:r>
            <w:r w:rsidR="002555C1" w:rsidRPr="00AF3046">
              <w:t xml:space="preserve">ри </w:t>
            </w:r>
            <w:r w:rsidR="004C45C1">
              <w:lastRenderedPageBreak/>
              <w:t>анализ</w:t>
            </w:r>
            <w:r w:rsidR="002555C1" w:rsidRPr="00AF3046">
              <w:t xml:space="preserve"> на въздействията</w:t>
            </w:r>
            <w:r w:rsidR="00726388">
              <w:t xml:space="preserve"> да се използват</w:t>
            </w:r>
            <w:r w:rsidR="0066337A">
              <w:t xml:space="preserve"> </w:t>
            </w:r>
            <w:r w:rsidR="002555C1" w:rsidRPr="00AF3046">
              <w:t xml:space="preserve">насоките от </w:t>
            </w:r>
            <w:hyperlink r:id="rId11" w:history="1">
              <w:r w:rsidR="002555C1" w:rsidRPr="00AF3046">
                <w:rPr>
                  <w:rStyle w:val="Hyperlink"/>
                  <w:b/>
                  <w:i/>
                </w:rPr>
                <w:t>Ръководството за извършване на предварителна оценка на въздействието</w:t>
              </w:r>
            </w:hyperlink>
            <w:r w:rsidR="002555C1" w:rsidRPr="00AF3046">
              <w:t xml:space="preserve"> (стр. 28-37).</w:t>
            </w:r>
          </w:p>
          <w:p w14:paraId="6FF47138" w14:textId="77777777" w:rsidR="00FD0BC7" w:rsidRPr="00FD0BC7" w:rsidRDefault="00FD0BC7" w:rsidP="00FD0BC7">
            <w:pPr>
              <w:pStyle w:val="Heading1"/>
              <w:outlineLvl w:val="0"/>
            </w:pPr>
            <w:r w:rsidRPr="00FD0BC7">
              <w:t>Относно раздел 6 „Избор на препоръчителен вариант:”</w:t>
            </w:r>
          </w:p>
          <w:p w14:paraId="6E82F35B" w14:textId="54BD0970" w:rsidR="00533646" w:rsidRDefault="00726388" w:rsidP="00533646">
            <w:pPr>
              <w:pStyle w:val="02"/>
            </w:pPr>
            <w:r>
              <w:t xml:space="preserve">Освен </w:t>
            </w:r>
            <w:r w:rsidR="00FD0BC7" w:rsidRPr="00FD0BC7">
              <w:t>отбелязването на съответн</w:t>
            </w:r>
            <w:r>
              <w:t xml:space="preserve">ите полета </w:t>
            </w:r>
            <w:r w:rsidR="00FD0BC7" w:rsidRPr="00FD0BC7">
              <w:t>с отговор „Да“ или „Не“, в т. 6.1-6.4</w:t>
            </w:r>
            <w:r>
              <w:t>,</w:t>
            </w:r>
            <w:r w:rsidR="00FD0BC7" w:rsidRPr="00FD0BC7">
              <w:t xml:space="preserve"> е необходимо да се представи </w:t>
            </w:r>
            <w:r>
              <w:t xml:space="preserve">кратка </w:t>
            </w:r>
            <w:r w:rsidR="00FD0BC7" w:rsidRPr="00FD0BC7">
              <w:t>инфор</w:t>
            </w:r>
            <w:r w:rsidR="00533646">
              <w:t xml:space="preserve">мация, която </w:t>
            </w:r>
            <w:r w:rsidR="00D75C08">
              <w:t xml:space="preserve">да </w:t>
            </w:r>
            <w:r>
              <w:t xml:space="preserve">аргументира </w:t>
            </w:r>
            <w:r w:rsidR="00533646">
              <w:t>избора.</w:t>
            </w:r>
          </w:p>
          <w:p w14:paraId="731FE1E7" w14:textId="0A691E4E" w:rsidR="00D75C08" w:rsidRDefault="00D75C08" w:rsidP="00D75C08">
            <w:pPr>
              <w:pStyle w:val="Heading1"/>
              <w:outlineLvl w:val="0"/>
            </w:pPr>
            <w:r w:rsidRPr="00D75C08">
              <w:t>Относно подраздел 6.4 „По какъв начин препоръчителният вариант въздейства върху микро-, малките и средните предприятия (МСП)?“</w:t>
            </w:r>
          </w:p>
          <w:p w14:paraId="1B3A511B" w14:textId="7B1D652B" w:rsidR="00AA1D43" w:rsidRDefault="00D75C08" w:rsidP="00D75C08">
            <w:pPr>
              <w:pStyle w:val="02"/>
            </w:pPr>
            <w:r w:rsidRPr="00D75C08">
              <w:t>В обх</w:t>
            </w:r>
            <w:r w:rsidR="006B7A06">
              <w:t xml:space="preserve">вата на заинтересованите страни, посочени в </w:t>
            </w:r>
            <w:r w:rsidRPr="00D75C08">
              <w:t>раздел 3</w:t>
            </w:r>
            <w:r w:rsidR="00B81F2A">
              <w:t>,</w:t>
            </w:r>
            <w:r w:rsidRPr="00D75C08">
              <w:t xml:space="preserve"> са включени </w:t>
            </w:r>
            <w:r w:rsidR="006B7A06">
              <w:t>представители на туристическия бизнес</w:t>
            </w:r>
            <w:r w:rsidRPr="00D75C08">
              <w:t>, които</w:t>
            </w:r>
            <w:r w:rsidR="004C45C1">
              <w:t xml:space="preserve"> в по-голямата си част попадат в категорията на </w:t>
            </w:r>
            <w:r w:rsidR="004C45C1" w:rsidRPr="004C45C1">
              <w:t>микро-, малки и средни предприятия</w:t>
            </w:r>
            <w:r w:rsidRPr="00D75C08">
              <w:t xml:space="preserve">. </w:t>
            </w:r>
            <w:r w:rsidR="00AA1D43">
              <w:t>С оглед на това</w:t>
            </w:r>
            <w:r w:rsidRPr="00D75C08">
              <w:t xml:space="preserve"> </w:t>
            </w:r>
            <w:r w:rsidR="006B7A06">
              <w:t xml:space="preserve">е необходимо </w:t>
            </w:r>
            <w:r w:rsidRPr="00D75C08">
              <w:t xml:space="preserve">да </w:t>
            </w:r>
            <w:r w:rsidR="00AA1D43">
              <w:t xml:space="preserve">бъде </w:t>
            </w:r>
            <w:r w:rsidRPr="00D75C08">
              <w:t>ревизира</w:t>
            </w:r>
            <w:r w:rsidR="00AA1D43">
              <w:t>но</w:t>
            </w:r>
            <w:r w:rsidRPr="00D75C08">
              <w:t xml:space="preserve"> твърдението, че </w:t>
            </w:r>
            <w:r w:rsidR="006B7A06">
              <w:t xml:space="preserve">„Актът не засяга </w:t>
            </w:r>
            <w:r w:rsidRPr="00D75C08">
              <w:t>МСП</w:t>
            </w:r>
            <w:r w:rsidR="006B7A06">
              <w:t>“.</w:t>
            </w:r>
          </w:p>
          <w:p w14:paraId="22897F4F" w14:textId="0401B905" w:rsidR="00AA1D43" w:rsidRDefault="00AA1D43" w:rsidP="00AA1D43">
            <w:pPr>
              <w:pStyle w:val="02"/>
            </w:pPr>
            <w:r>
              <w:t xml:space="preserve">Ако въпреки това се запази становището, че не се очакват въздействия върху МСП, следва то да бъде подкрепено с обосновани аргументи, които ясно да показват отсъствието на преки или непреки ефекти върху тази група предприятия. </w:t>
            </w:r>
          </w:p>
          <w:p w14:paraId="008D847A" w14:textId="455BC4FD" w:rsidR="0089360B" w:rsidRPr="0089360B" w:rsidRDefault="0089360B" w:rsidP="00AA1D43">
            <w:pPr>
              <w:pStyle w:val="Heading1"/>
              <w:outlineLvl w:val="0"/>
            </w:pPr>
            <w:r w:rsidRPr="0089360B">
              <w:t xml:space="preserve">Относно </w:t>
            </w:r>
            <w:r w:rsidRPr="00531FCC">
              <w:t>раздел</w:t>
            </w:r>
            <w:r w:rsidRPr="0089360B">
              <w:t xml:space="preserve"> </w:t>
            </w:r>
            <w:r w:rsidR="00531FCC">
              <w:t>7</w:t>
            </w:r>
            <w:r w:rsidRPr="0089360B">
              <w:t xml:space="preserve"> „</w:t>
            </w:r>
            <w:r w:rsidR="00531FCC" w:rsidRPr="00531FCC">
              <w:t>Консултации:</w:t>
            </w:r>
            <w:r w:rsidRPr="0089360B">
              <w:t>”</w:t>
            </w:r>
          </w:p>
          <w:p w14:paraId="439896D1" w14:textId="143B5D03" w:rsidR="00625016" w:rsidRDefault="00625016" w:rsidP="002555C1">
            <w:pPr>
              <w:pStyle w:val="02"/>
            </w:pPr>
            <w:r>
              <w:t>Посоч</w:t>
            </w:r>
            <w:r w:rsidR="00726388">
              <w:t>ено е</w:t>
            </w:r>
            <w:r>
              <w:t>, че са</w:t>
            </w:r>
            <w:r w:rsidR="00533646">
              <w:t xml:space="preserve"> проведени </w:t>
            </w:r>
            <w:r w:rsidR="000538D2">
              <w:t xml:space="preserve">предварителни </w:t>
            </w:r>
            <w:r w:rsidR="00533646">
              <w:t xml:space="preserve">консултации </w:t>
            </w:r>
            <w:r w:rsidR="00726388">
              <w:t>със сдружения на туроператори</w:t>
            </w:r>
            <w:r w:rsidR="00533646">
              <w:t>, туристи</w:t>
            </w:r>
            <w:r w:rsidR="00726388">
              <w:t>чески</w:t>
            </w:r>
            <w:r w:rsidR="00533646">
              <w:t xml:space="preserve"> агенти, екскурзоводи и планински водачи</w:t>
            </w:r>
            <w:r>
              <w:t xml:space="preserve">. </w:t>
            </w:r>
            <w:r w:rsidR="00726388">
              <w:t>П</w:t>
            </w:r>
            <w:r w:rsidR="00533646">
              <w:t xml:space="preserve">репоръчваме </w:t>
            </w:r>
            <w:r>
              <w:t xml:space="preserve">в оценката </w:t>
            </w:r>
            <w:r w:rsidRPr="00625016">
              <w:t xml:space="preserve">да се включи информация </w:t>
            </w:r>
            <w:r w:rsidR="00726388">
              <w:t xml:space="preserve">относно </w:t>
            </w:r>
            <w:r w:rsidRPr="00625016">
              <w:t xml:space="preserve">обсъжданите </w:t>
            </w:r>
            <w:r w:rsidR="00726388">
              <w:t xml:space="preserve">въпроси, както и </w:t>
            </w:r>
            <w:r w:rsidRPr="00625016">
              <w:t>изразените становища и предложения.</w:t>
            </w:r>
          </w:p>
          <w:p w14:paraId="49F8A4E2" w14:textId="6EE33445" w:rsidR="00A73CDC" w:rsidRPr="0001163F" w:rsidRDefault="00726388" w:rsidP="002555C1">
            <w:pPr>
              <w:pStyle w:val="02"/>
            </w:pPr>
            <w:r>
              <w:t>В раздел</w:t>
            </w:r>
            <w:r w:rsidR="00AA1D43">
              <w:t xml:space="preserve"> също така </w:t>
            </w:r>
            <w:r>
              <w:t>н</w:t>
            </w:r>
            <w:r w:rsidR="000538D2" w:rsidRPr="00625016">
              <w:t xml:space="preserve">е е посочено </w:t>
            </w:r>
            <w:r>
              <w:t xml:space="preserve">как ще бъдат </w:t>
            </w:r>
            <w:r w:rsidR="000538D2" w:rsidRPr="00625016">
              <w:t>проведени обществените консултации по чл.</w:t>
            </w:r>
            <w:r w:rsidR="000538D2">
              <w:t> </w:t>
            </w:r>
            <w:r w:rsidR="000538D2" w:rsidRPr="00625016">
              <w:t xml:space="preserve"> 26 от Закона за нормативните актове</w:t>
            </w:r>
            <w:r w:rsidR="00AA1D43">
              <w:t xml:space="preserve"> (ЗНА)</w:t>
            </w:r>
            <w:r w:rsidR="000538D2">
              <w:t xml:space="preserve">. С оглед на това </w:t>
            </w:r>
            <w:r w:rsidR="000538D2" w:rsidRPr="000538D2">
              <w:t xml:space="preserve">е необходимо да </w:t>
            </w:r>
            <w:r>
              <w:t>бъдат описани  консултационните процедури</w:t>
            </w:r>
            <w:r w:rsidR="001E7393">
              <w:t xml:space="preserve">, като например </w:t>
            </w:r>
            <w:r w:rsidR="000538D2" w:rsidRPr="000538D2">
              <w:t xml:space="preserve">публикуването на </w:t>
            </w:r>
            <w:r>
              <w:t xml:space="preserve">проекта на </w:t>
            </w:r>
            <w:r w:rsidR="000538D2" w:rsidRPr="000538D2">
              <w:t>интернет страница</w:t>
            </w:r>
            <w:r>
              <w:t xml:space="preserve">та на компетентния орган </w:t>
            </w:r>
            <w:r w:rsidR="000538D2" w:rsidRPr="000538D2">
              <w:t xml:space="preserve">и на Портала за </w:t>
            </w:r>
            <w:r w:rsidR="000538D2">
              <w:t>обществени консултации</w:t>
            </w:r>
            <w:r>
              <w:t xml:space="preserve">. </w:t>
            </w:r>
            <w:r w:rsidR="00AA1D43">
              <w:t>Следва и</w:t>
            </w:r>
            <w:r w:rsidR="001E7393">
              <w:t xml:space="preserve"> </w:t>
            </w:r>
            <w:r>
              <w:t>да се посочи, че законоу</w:t>
            </w:r>
            <w:r w:rsidR="00531FCC" w:rsidRPr="00531FCC">
              <w:t>становеният срок за провеждане на обществе</w:t>
            </w:r>
            <w:r w:rsidR="001E7393">
              <w:t>на</w:t>
            </w:r>
            <w:r w:rsidR="00531FCC" w:rsidRPr="00531FCC">
              <w:t xml:space="preserve"> консултация по чл. 26 от З</w:t>
            </w:r>
            <w:r w:rsidR="00AA1D43">
              <w:t>НА</w:t>
            </w:r>
            <w:r w:rsidR="00531FCC" w:rsidRPr="00DC1841">
              <w:rPr>
                <w:b/>
              </w:rPr>
              <w:t xml:space="preserve"> </w:t>
            </w:r>
            <w:r w:rsidR="00531FCC" w:rsidRPr="0001163F">
              <w:t>е 30 дни.</w:t>
            </w:r>
          </w:p>
          <w:p w14:paraId="70E09885" w14:textId="4430E37C" w:rsidR="00622B6E" w:rsidRDefault="00622B6E" w:rsidP="00622B6E">
            <w:pPr>
              <w:pStyle w:val="Heading1"/>
              <w:outlineLvl w:val="0"/>
            </w:pPr>
            <w:r w:rsidRPr="00622B6E">
              <w:t>Относно раздел 11 „Информационни източници:”</w:t>
            </w:r>
          </w:p>
          <w:p w14:paraId="1B5F5A93" w14:textId="7048FD76" w:rsidR="000538D2" w:rsidRPr="000538D2" w:rsidRDefault="001E7393" w:rsidP="000538D2">
            <w:pPr>
              <w:pStyle w:val="02"/>
              <w:rPr>
                <w:rFonts w:eastAsia="Times New Roman"/>
                <w:b/>
              </w:rPr>
            </w:pPr>
            <w:r>
              <w:t>Препоръчваме в този</w:t>
            </w:r>
            <w:r w:rsidR="000538D2" w:rsidRPr="000538D2">
              <w:t xml:space="preserve"> раздел да бъдат </w:t>
            </w:r>
            <w:r>
              <w:t>изброени с пълни заглавия</w:t>
            </w:r>
            <w:r w:rsidR="000538D2" w:rsidRPr="000538D2">
              <w:t xml:space="preserve"> и електронни връзки всички относими нормативни актове, аналитични документи, източници на статистически данни</w:t>
            </w:r>
            <w:r>
              <w:t xml:space="preserve"> и</w:t>
            </w:r>
            <w:r w:rsidR="000538D2">
              <w:t xml:space="preserve"> анализи</w:t>
            </w:r>
            <w:r w:rsidR="006F0DFA">
              <w:t xml:space="preserve">, </w:t>
            </w:r>
            <w:r w:rsidR="000538D2">
              <w:t>вкл</w:t>
            </w:r>
            <w:r>
              <w:t xml:space="preserve">ючително </w:t>
            </w:r>
            <w:r w:rsidR="000538D2" w:rsidRPr="000538D2">
              <w:t>Споразумение</w:t>
            </w:r>
            <w:r w:rsidR="000538D2">
              <w:t>то</w:t>
            </w:r>
            <w:r w:rsidR="000538D2" w:rsidRPr="000538D2">
              <w:t xml:space="preserve"> </w:t>
            </w:r>
            <w:r w:rsidR="000538D2" w:rsidRPr="000538D2">
              <w:rPr>
                <w:bCs/>
              </w:rPr>
              <w:t>между правителството на Република България и ОИСР</w:t>
            </w:r>
            <w:r w:rsidR="00AA1D43">
              <w:rPr>
                <w:bCs/>
              </w:rPr>
              <w:t xml:space="preserve">, </w:t>
            </w:r>
            <w:r>
              <w:rPr>
                <w:bCs/>
              </w:rPr>
              <w:t>п</w:t>
            </w:r>
            <w:r w:rsidR="000538D2">
              <w:rPr>
                <w:rFonts w:eastAsia="Times New Roman"/>
                <w:bCs/>
              </w:rPr>
              <w:t>репоръка</w:t>
            </w:r>
            <w:r>
              <w:rPr>
                <w:rFonts w:eastAsia="Times New Roman"/>
                <w:bCs/>
              </w:rPr>
              <w:t>та</w:t>
            </w:r>
            <w:r w:rsidR="000538D2">
              <w:rPr>
                <w:rFonts w:eastAsia="Times New Roman"/>
                <w:bCs/>
              </w:rPr>
              <w:t xml:space="preserve"> на Инвестиционния комитет на ОИСР</w:t>
            </w:r>
            <w:r w:rsidR="00AA1D43">
              <w:rPr>
                <w:rFonts w:eastAsia="Times New Roman"/>
                <w:bCs/>
              </w:rPr>
              <w:t xml:space="preserve"> и </w:t>
            </w:r>
            <w:r w:rsidR="000538D2">
              <w:rPr>
                <w:rFonts w:eastAsia="Times New Roman"/>
                <w:bCs/>
              </w:rPr>
              <w:t xml:space="preserve">Кодексите за либерализация на </w:t>
            </w:r>
            <w:r>
              <w:rPr>
                <w:rFonts w:eastAsia="Times New Roman"/>
                <w:bCs/>
              </w:rPr>
              <w:t>организацията.</w:t>
            </w:r>
          </w:p>
          <w:p w14:paraId="0B8A1F3E" w14:textId="18EB711E" w:rsidR="00F717E9" w:rsidRPr="00F717E9" w:rsidRDefault="00F717E9" w:rsidP="006B46A9">
            <w:pPr>
              <w:pStyle w:val="Heading1"/>
              <w:outlineLvl w:val="0"/>
            </w:pPr>
            <w:r w:rsidRPr="00F717E9">
              <w:t>Относно извършване на последваща оценка на въздействието:</w:t>
            </w:r>
          </w:p>
          <w:p w14:paraId="1BEC5775" w14:textId="4CDD4558" w:rsidR="00F717E9" w:rsidRPr="003306C8" w:rsidRDefault="00F717E9" w:rsidP="00F717E9">
            <w:pPr>
              <w:pStyle w:val="02"/>
            </w:pPr>
            <w:r w:rsidRPr="00F717E9">
              <w:t>За осигуряване на проверката на съотношението между формулираните цели и постигнатите резултати е необходимо в заключителните разпоредби на законопроекта да бъде посочено в какъв срок ще бъде извършена последваща оценка на въздействието на закона и кой е компетентният орган, който ще организира нейното извършване.</w:t>
            </w:r>
          </w:p>
        </w:tc>
      </w:tr>
    </w:tbl>
    <w:p w14:paraId="538EF889" w14:textId="1EC4E6F0" w:rsidR="009D62F6" w:rsidRPr="00852493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B3927" w:rsidRDefault="00852493" w:rsidP="004332F8">
      <w:pPr>
        <w:spacing w:before="120" w:after="120"/>
        <w:sectPr w:rsidR="00852493" w:rsidRPr="007B3927" w:rsidSect="004332F8">
          <w:type w:val="continuous"/>
          <w:pgSz w:w="11906" w:h="16838"/>
          <w:pgMar w:top="1417" w:right="1417" w:bottom="426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7B3927" w14:paraId="4DE3315F" w14:textId="77777777" w:rsidTr="00763CA6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7B3927" w:rsidRDefault="002D3CB0" w:rsidP="00A410B4">
            <w:pPr>
              <w:pStyle w:val="03"/>
            </w:pPr>
            <w:r w:rsidRPr="007B3927">
              <w:lastRenderedPageBreak/>
              <w:t>*</w:t>
            </w:r>
            <w:r w:rsidR="00B0732D" w:rsidRPr="007B3927">
              <w:t>   </w:t>
            </w:r>
            <w:r w:rsidRPr="007B3927">
              <w:t xml:space="preserve">Съгласно чл. 17 от Наредбата за обхвата и методологията за извършване на оценка на </w:t>
            </w:r>
            <w:r w:rsidRPr="00E50597">
              <w:t>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E50597">
              <w:t>ет и на неговата администрация.</w:t>
            </w:r>
          </w:p>
        </w:tc>
      </w:tr>
      <w:tr w:rsidR="000D667F" w:rsidRPr="007B3927" w14:paraId="6BC679BA" w14:textId="77777777" w:rsidTr="00763CA6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7B3927" w:rsidRDefault="000D667F" w:rsidP="00A410B4">
            <w:pPr>
              <w:pStyle w:val="03"/>
            </w:pPr>
            <w:r w:rsidRPr="007B3927">
              <w:t>**</w:t>
            </w:r>
            <w:r w:rsidR="00B0732D" w:rsidRPr="007B3927">
              <w:t>   </w:t>
            </w:r>
            <w:r w:rsidR="002C0D1B" w:rsidRPr="007B392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B3927">
              <w:t>.</w:t>
            </w:r>
          </w:p>
        </w:tc>
      </w:tr>
      <w:tr w:rsidR="00602DA4" w:rsidRPr="007B3927" w14:paraId="735F2EAE" w14:textId="77777777" w:rsidTr="00763CA6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Default="002D3CB0" w:rsidP="00A410B4">
            <w:pPr>
              <w:pStyle w:val="03"/>
            </w:pPr>
            <w:r w:rsidRPr="007B3927">
              <w:t>**</w:t>
            </w:r>
            <w:r w:rsidR="000A68D9" w:rsidRPr="007B3927">
              <w:t>*</w:t>
            </w:r>
            <w:r w:rsidR="00B0732D" w:rsidRPr="007B3927">
              <w:t>   </w:t>
            </w:r>
            <w:r w:rsidRPr="007B3927">
              <w:t xml:space="preserve">На основание чл. 30б, ал. 4 от </w:t>
            </w:r>
            <w:r w:rsidRPr="00C71C35">
              <w:t>Устройствения</w:t>
            </w:r>
            <w:r w:rsidRPr="007B3927">
              <w:t xml:space="preserve">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7B3927" w:rsidRDefault="007F2E32" w:rsidP="00A410B4">
            <w:pPr>
              <w:pStyle w:val="03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A46D87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C8" w14:textId="17CB510E" w:rsidR="00BA3467" w:rsidRPr="001950FF" w:rsidRDefault="00F717E9" w:rsidP="00194CCE">
            <w:pPr>
              <w:pStyle w:val="02"/>
              <w:spacing w:before="240"/>
              <w:rPr>
                <w:b/>
              </w:rPr>
            </w:pPr>
            <w:r w:rsidRPr="001950FF">
              <w:rPr>
                <w:b/>
              </w:rPr>
              <w:t xml:space="preserve">И. Д. </w:t>
            </w:r>
            <w:r w:rsidR="00BA3467" w:rsidRPr="001950FF">
              <w:rPr>
                <w:b/>
              </w:rPr>
              <w:t>ДИРЕКТОР НА ДИРЕКЦИ</w:t>
            </w:r>
            <w:r w:rsidR="00763CA6" w:rsidRPr="001950FF">
              <w:rPr>
                <w:b/>
              </w:rPr>
              <w:t>Я</w:t>
            </w:r>
          </w:p>
          <w:p w14:paraId="45B92D84" w14:textId="4542A923" w:rsidR="00BA3467" w:rsidRPr="001950FF" w:rsidRDefault="00BA3467" w:rsidP="001950FF">
            <w:pPr>
              <w:pStyle w:val="02"/>
              <w:rPr>
                <w:b/>
              </w:rPr>
            </w:pPr>
            <w:r w:rsidRPr="001950FF">
              <w:rPr>
                <w:b/>
              </w:rPr>
              <w:t>„</w:t>
            </w:r>
            <w:r w:rsidR="00F717E9" w:rsidRPr="001950FF">
              <w:rPr>
                <w:b/>
              </w:rPr>
              <w:t xml:space="preserve">КООРДИНАЦИЯ И </w:t>
            </w:r>
            <w:r w:rsidRPr="001950FF">
              <w:rPr>
                <w:b/>
              </w:rPr>
              <w:t>МОДЕРНИЗАЦИЯ НА АДМИНИСТРАЦИЯТА“ В</w:t>
            </w:r>
          </w:p>
          <w:p w14:paraId="6C13F804" w14:textId="77777777" w:rsidR="00BA3467" w:rsidRPr="007C44D2" w:rsidRDefault="00BA3467" w:rsidP="001950FF">
            <w:pPr>
              <w:pStyle w:val="02"/>
            </w:pPr>
            <w:r w:rsidRPr="001950FF">
              <w:rPr>
                <w:b/>
              </w:rPr>
              <w:t>АДМИНИСТРАЦИЯТА НА МИНИСТЕРСКИЯ СЪВЕТ</w:t>
            </w:r>
          </w:p>
          <w:p w14:paraId="15F40762" w14:textId="7A6A15E7" w:rsidR="00BA3467" w:rsidRPr="00BA3467" w:rsidRDefault="007675BA" w:rsidP="001950FF">
            <w:pPr>
              <w:spacing w:line="240" w:lineRule="auto"/>
              <w:ind w:left="62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50pt;height:52.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1950FF">
            <w:pPr>
              <w:spacing w:after="240" w:line="240" w:lineRule="auto"/>
              <w:ind w:left="62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194CCE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491FC" w14:textId="77777777" w:rsidR="00CA7753" w:rsidRDefault="00CA7753" w:rsidP="00C20834">
      <w:r>
        <w:separator/>
      </w:r>
    </w:p>
    <w:p w14:paraId="31A11DF4" w14:textId="77777777" w:rsidR="00CA7753" w:rsidRDefault="00CA7753" w:rsidP="00C20834"/>
  </w:endnote>
  <w:endnote w:type="continuationSeparator" w:id="0">
    <w:p w14:paraId="5F24C271" w14:textId="77777777" w:rsidR="00CA7753" w:rsidRDefault="00CA7753" w:rsidP="00C20834">
      <w:r>
        <w:continuationSeparator/>
      </w:r>
    </w:p>
    <w:p w14:paraId="20443F4C" w14:textId="77777777" w:rsidR="00CA7753" w:rsidRDefault="00CA7753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7777777" w:rsidR="00184B43" w:rsidRPr="00CD3A5D" w:rsidRDefault="00184B43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CD3A5D">
          <w:rPr>
            <w:rFonts w:eastAsia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14:paraId="5D9FB67F" w14:textId="119B8E36" w:rsidR="00184B43" w:rsidRPr="00CD3A5D" w:rsidRDefault="00184B43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7675BA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2B3889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7EE769D8" w:rsidR="00184B43" w:rsidRPr="00CD3A5D" w:rsidRDefault="00184B43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CD3A5D">
      <w:rPr>
        <w:rFonts w:eastAsia="Times New Roman"/>
        <w:i/>
        <w:sz w:val="20"/>
        <w:szCs w:val="20"/>
      </w:rPr>
      <w:t>гр. 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6C77D" w14:textId="77777777" w:rsidR="00CA7753" w:rsidRDefault="00CA7753" w:rsidP="00C20834">
      <w:r>
        <w:separator/>
      </w:r>
    </w:p>
    <w:p w14:paraId="523FD05D" w14:textId="77777777" w:rsidR="00CA7753" w:rsidRDefault="00CA7753" w:rsidP="00C20834"/>
  </w:footnote>
  <w:footnote w:type="continuationSeparator" w:id="0">
    <w:p w14:paraId="4FFB2E4D" w14:textId="77777777" w:rsidR="00CA7753" w:rsidRDefault="00CA7753" w:rsidP="00C20834">
      <w:r>
        <w:continuationSeparator/>
      </w:r>
    </w:p>
    <w:p w14:paraId="722C31F0" w14:textId="77777777" w:rsidR="00CA7753" w:rsidRDefault="00CA7753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1DD07CBD"/>
    <w:multiLevelType w:val="hybridMultilevel"/>
    <w:tmpl w:val="376EDF12"/>
    <w:lvl w:ilvl="0" w:tplc="BFC694A6">
      <w:start w:val="103"/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4D7C5C76"/>
    <w:multiLevelType w:val="hybridMultilevel"/>
    <w:tmpl w:val="B25CEFA2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163F"/>
    <w:rsid w:val="00012A0B"/>
    <w:rsid w:val="00021017"/>
    <w:rsid w:val="000257D5"/>
    <w:rsid w:val="00030B02"/>
    <w:rsid w:val="00032FAB"/>
    <w:rsid w:val="000355CA"/>
    <w:rsid w:val="000378AA"/>
    <w:rsid w:val="000405D8"/>
    <w:rsid w:val="0004259E"/>
    <w:rsid w:val="00044A01"/>
    <w:rsid w:val="000478BD"/>
    <w:rsid w:val="0005265F"/>
    <w:rsid w:val="000538D2"/>
    <w:rsid w:val="00056D49"/>
    <w:rsid w:val="00057C18"/>
    <w:rsid w:val="0007016F"/>
    <w:rsid w:val="000738B9"/>
    <w:rsid w:val="000773CA"/>
    <w:rsid w:val="00077667"/>
    <w:rsid w:val="0008103D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68D9"/>
    <w:rsid w:val="000B1B75"/>
    <w:rsid w:val="000B1C3B"/>
    <w:rsid w:val="000B5093"/>
    <w:rsid w:val="000C0A9E"/>
    <w:rsid w:val="000C56F3"/>
    <w:rsid w:val="000D206E"/>
    <w:rsid w:val="000D667F"/>
    <w:rsid w:val="000D78C4"/>
    <w:rsid w:val="000E0114"/>
    <w:rsid w:val="000F04B2"/>
    <w:rsid w:val="000F18F4"/>
    <w:rsid w:val="000F3496"/>
    <w:rsid w:val="00100231"/>
    <w:rsid w:val="001020BF"/>
    <w:rsid w:val="001111D5"/>
    <w:rsid w:val="00113560"/>
    <w:rsid w:val="0011366C"/>
    <w:rsid w:val="001178C4"/>
    <w:rsid w:val="00121328"/>
    <w:rsid w:val="00126555"/>
    <w:rsid w:val="0013155E"/>
    <w:rsid w:val="00133BAE"/>
    <w:rsid w:val="001413BF"/>
    <w:rsid w:val="0014415F"/>
    <w:rsid w:val="00152F23"/>
    <w:rsid w:val="00164E8F"/>
    <w:rsid w:val="00166824"/>
    <w:rsid w:val="00167E4D"/>
    <w:rsid w:val="00175BF1"/>
    <w:rsid w:val="00182180"/>
    <w:rsid w:val="00183226"/>
    <w:rsid w:val="00183C28"/>
    <w:rsid w:val="00183CBB"/>
    <w:rsid w:val="00184B43"/>
    <w:rsid w:val="00192D9A"/>
    <w:rsid w:val="00194CCE"/>
    <w:rsid w:val="001950FF"/>
    <w:rsid w:val="001A7FBE"/>
    <w:rsid w:val="001B2BD0"/>
    <w:rsid w:val="001B50A2"/>
    <w:rsid w:val="001C1321"/>
    <w:rsid w:val="001C6AD2"/>
    <w:rsid w:val="001C7BDE"/>
    <w:rsid w:val="001D5311"/>
    <w:rsid w:val="001D5327"/>
    <w:rsid w:val="001D7F92"/>
    <w:rsid w:val="001E1353"/>
    <w:rsid w:val="001E739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359C"/>
    <w:rsid w:val="002A5C98"/>
    <w:rsid w:val="002A7133"/>
    <w:rsid w:val="002A7C7A"/>
    <w:rsid w:val="002B220F"/>
    <w:rsid w:val="002B3003"/>
    <w:rsid w:val="002B3889"/>
    <w:rsid w:val="002B50A6"/>
    <w:rsid w:val="002B5937"/>
    <w:rsid w:val="002B6158"/>
    <w:rsid w:val="002B7600"/>
    <w:rsid w:val="002C0D1B"/>
    <w:rsid w:val="002C3843"/>
    <w:rsid w:val="002C526A"/>
    <w:rsid w:val="002C54DA"/>
    <w:rsid w:val="002C5A97"/>
    <w:rsid w:val="002C78A4"/>
    <w:rsid w:val="002D3C0A"/>
    <w:rsid w:val="002D3CB0"/>
    <w:rsid w:val="002D4F4A"/>
    <w:rsid w:val="002E73BD"/>
    <w:rsid w:val="002F7EB1"/>
    <w:rsid w:val="003105EA"/>
    <w:rsid w:val="00314B6A"/>
    <w:rsid w:val="00323711"/>
    <w:rsid w:val="00323D41"/>
    <w:rsid w:val="00324D33"/>
    <w:rsid w:val="00324E9F"/>
    <w:rsid w:val="003302A0"/>
    <w:rsid w:val="003304F3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26E"/>
    <w:rsid w:val="003F2DD9"/>
    <w:rsid w:val="003F5890"/>
    <w:rsid w:val="003F6C94"/>
    <w:rsid w:val="0040060D"/>
    <w:rsid w:val="00400C35"/>
    <w:rsid w:val="00403511"/>
    <w:rsid w:val="00403E1D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5C64"/>
    <w:rsid w:val="004568A7"/>
    <w:rsid w:val="0046157D"/>
    <w:rsid w:val="00465CF9"/>
    <w:rsid w:val="004663A4"/>
    <w:rsid w:val="00466FA7"/>
    <w:rsid w:val="004924AB"/>
    <w:rsid w:val="004A7C2F"/>
    <w:rsid w:val="004B1758"/>
    <w:rsid w:val="004B431B"/>
    <w:rsid w:val="004B70D4"/>
    <w:rsid w:val="004C1253"/>
    <w:rsid w:val="004C45C1"/>
    <w:rsid w:val="004C6250"/>
    <w:rsid w:val="004C6C07"/>
    <w:rsid w:val="004C7E56"/>
    <w:rsid w:val="004E2349"/>
    <w:rsid w:val="004F12EC"/>
    <w:rsid w:val="0050294F"/>
    <w:rsid w:val="0050360A"/>
    <w:rsid w:val="00504C1B"/>
    <w:rsid w:val="00521568"/>
    <w:rsid w:val="00531912"/>
    <w:rsid w:val="00531FCC"/>
    <w:rsid w:val="00533646"/>
    <w:rsid w:val="005374FD"/>
    <w:rsid w:val="0054028C"/>
    <w:rsid w:val="00541402"/>
    <w:rsid w:val="0055005B"/>
    <w:rsid w:val="00551C3A"/>
    <w:rsid w:val="00560E9D"/>
    <w:rsid w:val="00562FF2"/>
    <w:rsid w:val="00567E13"/>
    <w:rsid w:val="005717CC"/>
    <w:rsid w:val="00571839"/>
    <w:rsid w:val="005729A2"/>
    <w:rsid w:val="005762C0"/>
    <w:rsid w:val="00581534"/>
    <w:rsid w:val="00581898"/>
    <w:rsid w:val="00581C60"/>
    <w:rsid w:val="00582AB5"/>
    <w:rsid w:val="00585E48"/>
    <w:rsid w:val="005A3BC0"/>
    <w:rsid w:val="005B11DD"/>
    <w:rsid w:val="005B4BCB"/>
    <w:rsid w:val="005C0770"/>
    <w:rsid w:val="005C7E7D"/>
    <w:rsid w:val="005D3149"/>
    <w:rsid w:val="005D474C"/>
    <w:rsid w:val="005F13E3"/>
    <w:rsid w:val="005F2242"/>
    <w:rsid w:val="005F5503"/>
    <w:rsid w:val="005F614B"/>
    <w:rsid w:val="005F724F"/>
    <w:rsid w:val="00602D60"/>
    <w:rsid w:val="00602DA4"/>
    <w:rsid w:val="00622B6E"/>
    <w:rsid w:val="00625016"/>
    <w:rsid w:val="00627303"/>
    <w:rsid w:val="0063533F"/>
    <w:rsid w:val="006559FC"/>
    <w:rsid w:val="00657679"/>
    <w:rsid w:val="00660D8E"/>
    <w:rsid w:val="0066337A"/>
    <w:rsid w:val="00664A4E"/>
    <w:rsid w:val="00671446"/>
    <w:rsid w:val="006717EA"/>
    <w:rsid w:val="006718A8"/>
    <w:rsid w:val="00680D75"/>
    <w:rsid w:val="0069295F"/>
    <w:rsid w:val="00693C7D"/>
    <w:rsid w:val="006A248F"/>
    <w:rsid w:val="006B1131"/>
    <w:rsid w:val="006B46A9"/>
    <w:rsid w:val="006B49B5"/>
    <w:rsid w:val="006B5443"/>
    <w:rsid w:val="006B5D0C"/>
    <w:rsid w:val="006B6BAF"/>
    <w:rsid w:val="006B7A06"/>
    <w:rsid w:val="006C05A6"/>
    <w:rsid w:val="006C1E5E"/>
    <w:rsid w:val="006D4637"/>
    <w:rsid w:val="006D604D"/>
    <w:rsid w:val="006F0DFA"/>
    <w:rsid w:val="0070040A"/>
    <w:rsid w:val="00704506"/>
    <w:rsid w:val="0070623B"/>
    <w:rsid w:val="00707B5A"/>
    <w:rsid w:val="0071466A"/>
    <w:rsid w:val="00726182"/>
    <w:rsid w:val="00726388"/>
    <w:rsid w:val="00726812"/>
    <w:rsid w:val="00740FC7"/>
    <w:rsid w:val="007438BC"/>
    <w:rsid w:val="007478F6"/>
    <w:rsid w:val="007513D5"/>
    <w:rsid w:val="00756423"/>
    <w:rsid w:val="00760E56"/>
    <w:rsid w:val="00762871"/>
    <w:rsid w:val="00762959"/>
    <w:rsid w:val="00763CA6"/>
    <w:rsid w:val="007675BA"/>
    <w:rsid w:val="00770533"/>
    <w:rsid w:val="0077540B"/>
    <w:rsid w:val="00776502"/>
    <w:rsid w:val="00793836"/>
    <w:rsid w:val="00794154"/>
    <w:rsid w:val="007B193A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C44D2"/>
    <w:rsid w:val="007D0247"/>
    <w:rsid w:val="007D5CC8"/>
    <w:rsid w:val="007E080F"/>
    <w:rsid w:val="007E1903"/>
    <w:rsid w:val="007E1D69"/>
    <w:rsid w:val="007E29E1"/>
    <w:rsid w:val="007E35BA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52493"/>
    <w:rsid w:val="00852EF9"/>
    <w:rsid w:val="0085378E"/>
    <w:rsid w:val="0085609B"/>
    <w:rsid w:val="008571BE"/>
    <w:rsid w:val="00861841"/>
    <w:rsid w:val="0087124C"/>
    <w:rsid w:val="008743C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C02A3"/>
    <w:rsid w:val="008C60A6"/>
    <w:rsid w:val="008D2776"/>
    <w:rsid w:val="008D2D52"/>
    <w:rsid w:val="008D74FE"/>
    <w:rsid w:val="008E025F"/>
    <w:rsid w:val="008E6FA2"/>
    <w:rsid w:val="008F2C2D"/>
    <w:rsid w:val="008F3DB6"/>
    <w:rsid w:val="008F4270"/>
    <w:rsid w:val="008F505D"/>
    <w:rsid w:val="00901417"/>
    <w:rsid w:val="0090271D"/>
    <w:rsid w:val="0090353E"/>
    <w:rsid w:val="009035C2"/>
    <w:rsid w:val="00907A13"/>
    <w:rsid w:val="009104FB"/>
    <w:rsid w:val="00911779"/>
    <w:rsid w:val="0091684D"/>
    <w:rsid w:val="00916898"/>
    <w:rsid w:val="0092042D"/>
    <w:rsid w:val="00925322"/>
    <w:rsid w:val="00932950"/>
    <w:rsid w:val="00937499"/>
    <w:rsid w:val="00940B4E"/>
    <w:rsid w:val="009441A1"/>
    <w:rsid w:val="00950D96"/>
    <w:rsid w:val="00952CBE"/>
    <w:rsid w:val="00952F0C"/>
    <w:rsid w:val="00952F1F"/>
    <w:rsid w:val="00953C6E"/>
    <w:rsid w:val="009704E9"/>
    <w:rsid w:val="009726A6"/>
    <w:rsid w:val="00973BD9"/>
    <w:rsid w:val="00977C2F"/>
    <w:rsid w:val="009810DF"/>
    <w:rsid w:val="00981CBD"/>
    <w:rsid w:val="00985C4B"/>
    <w:rsid w:val="009905B8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662C"/>
    <w:rsid w:val="00A07BE3"/>
    <w:rsid w:val="00A1167F"/>
    <w:rsid w:val="00A15BEC"/>
    <w:rsid w:val="00A32F4C"/>
    <w:rsid w:val="00A33936"/>
    <w:rsid w:val="00A410B4"/>
    <w:rsid w:val="00A424FE"/>
    <w:rsid w:val="00A4353A"/>
    <w:rsid w:val="00A46D87"/>
    <w:rsid w:val="00A568AA"/>
    <w:rsid w:val="00A73632"/>
    <w:rsid w:val="00A73CDC"/>
    <w:rsid w:val="00A75F5C"/>
    <w:rsid w:val="00A76AA8"/>
    <w:rsid w:val="00A86130"/>
    <w:rsid w:val="00A86B07"/>
    <w:rsid w:val="00A95FA2"/>
    <w:rsid w:val="00A972FD"/>
    <w:rsid w:val="00AA0476"/>
    <w:rsid w:val="00AA1D43"/>
    <w:rsid w:val="00AA3C51"/>
    <w:rsid w:val="00AB5D24"/>
    <w:rsid w:val="00AC4FA4"/>
    <w:rsid w:val="00AC5008"/>
    <w:rsid w:val="00AC6248"/>
    <w:rsid w:val="00AD21D9"/>
    <w:rsid w:val="00AD340F"/>
    <w:rsid w:val="00AD4774"/>
    <w:rsid w:val="00AD5B7C"/>
    <w:rsid w:val="00AE72FE"/>
    <w:rsid w:val="00AF1780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02EF"/>
    <w:rsid w:val="00B443CF"/>
    <w:rsid w:val="00B46C41"/>
    <w:rsid w:val="00B5353F"/>
    <w:rsid w:val="00B60D77"/>
    <w:rsid w:val="00B66DB3"/>
    <w:rsid w:val="00B70BF4"/>
    <w:rsid w:val="00B7256C"/>
    <w:rsid w:val="00B73D5D"/>
    <w:rsid w:val="00B80FFC"/>
    <w:rsid w:val="00B81F2A"/>
    <w:rsid w:val="00B925F8"/>
    <w:rsid w:val="00B953FF"/>
    <w:rsid w:val="00BA1FC3"/>
    <w:rsid w:val="00BA3467"/>
    <w:rsid w:val="00BA5207"/>
    <w:rsid w:val="00BA644F"/>
    <w:rsid w:val="00BA6592"/>
    <w:rsid w:val="00BA6FB2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368A"/>
    <w:rsid w:val="00C364CB"/>
    <w:rsid w:val="00C37346"/>
    <w:rsid w:val="00C405F9"/>
    <w:rsid w:val="00C412B4"/>
    <w:rsid w:val="00C4215E"/>
    <w:rsid w:val="00C45E18"/>
    <w:rsid w:val="00C462DB"/>
    <w:rsid w:val="00C503A6"/>
    <w:rsid w:val="00C50797"/>
    <w:rsid w:val="00C52DF4"/>
    <w:rsid w:val="00C56E4D"/>
    <w:rsid w:val="00C6619B"/>
    <w:rsid w:val="00C66397"/>
    <w:rsid w:val="00C71C35"/>
    <w:rsid w:val="00C82A6F"/>
    <w:rsid w:val="00C8486B"/>
    <w:rsid w:val="00C8513A"/>
    <w:rsid w:val="00C85426"/>
    <w:rsid w:val="00C85C2F"/>
    <w:rsid w:val="00C92124"/>
    <w:rsid w:val="00C93AA3"/>
    <w:rsid w:val="00C94271"/>
    <w:rsid w:val="00C978D0"/>
    <w:rsid w:val="00CA1C14"/>
    <w:rsid w:val="00CA3B28"/>
    <w:rsid w:val="00CA3FF4"/>
    <w:rsid w:val="00CA5AB7"/>
    <w:rsid w:val="00CA5C7F"/>
    <w:rsid w:val="00CA5EB8"/>
    <w:rsid w:val="00CA7753"/>
    <w:rsid w:val="00CB1205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5A9B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4E60"/>
    <w:rsid w:val="00D31AEE"/>
    <w:rsid w:val="00D356EB"/>
    <w:rsid w:val="00D35E78"/>
    <w:rsid w:val="00D36F48"/>
    <w:rsid w:val="00D4057C"/>
    <w:rsid w:val="00D40C3C"/>
    <w:rsid w:val="00D43F35"/>
    <w:rsid w:val="00D43F47"/>
    <w:rsid w:val="00D4506B"/>
    <w:rsid w:val="00D50DE1"/>
    <w:rsid w:val="00D71609"/>
    <w:rsid w:val="00D72DE3"/>
    <w:rsid w:val="00D75708"/>
    <w:rsid w:val="00D75C08"/>
    <w:rsid w:val="00D82CBF"/>
    <w:rsid w:val="00D85D2F"/>
    <w:rsid w:val="00D91E34"/>
    <w:rsid w:val="00D940A1"/>
    <w:rsid w:val="00D95F53"/>
    <w:rsid w:val="00DA0142"/>
    <w:rsid w:val="00DA5071"/>
    <w:rsid w:val="00DA77A7"/>
    <w:rsid w:val="00DB2527"/>
    <w:rsid w:val="00DB4204"/>
    <w:rsid w:val="00DB5262"/>
    <w:rsid w:val="00DC1841"/>
    <w:rsid w:val="00DC47E2"/>
    <w:rsid w:val="00DC637C"/>
    <w:rsid w:val="00DC63B0"/>
    <w:rsid w:val="00DC7865"/>
    <w:rsid w:val="00DE00B0"/>
    <w:rsid w:val="00DE1358"/>
    <w:rsid w:val="00DE2694"/>
    <w:rsid w:val="00DE33AD"/>
    <w:rsid w:val="00DE7A3D"/>
    <w:rsid w:val="00DF2E79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80FDC"/>
    <w:rsid w:val="00E86AAE"/>
    <w:rsid w:val="00E87992"/>
    <w:rsid w:val="00EA4C41"/>
    <w:rsid w:val="00EA6D4B"/>
    <w:rsid w:val="00EB2A2F"/>
    <w:rsid w:val="00EB342F"/>
    <w:rsid w:val="00EB7D4C"/>
    <w:rsid w:val="00EC4A1F"/>
    <w:rsid w:val="00ED0A3E"/>
    <w:rsid w:val="00ED3D62"/>
    <w:rsid w:val="00EE2F6D"/>
    <w:rsid w:val="00EF2DC7"/>
    <w:rsid w:val="00F02D89"/>
    <w:rsid w:val="00F11186"/>
    <w:rsid w:val="00F14473"/>
    <w:rsid w:val="00F14937"/>
    <w:rsid w:val="00F15F83"/>
    <w:rsid w:val="00F22220"/>
    <w:rsid w:val="00F3067F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7E9"/>
    <w:rsid w:val="00F721B0"/>
    <w:rsid w:val="00F75B2A"/>
    <w:rsid w:val="00F8701F"/>
    <w:rsid w:val="00F91E35"/>
    <w:rsid w:val="00FA2D03"/>
    <w:rsid w:val="00FA3E67"/>
    <w:rsid w:val="00FA7496"/>
    <w:rsid w:val="00FB1F1C"/>
    <w:rsid w:val="00FC116F"/>
    <w:rsid w:val="00FD0BC7"/>
    <w:rsid w:val="00FD3063"/>
    <w:rsid w:val="00FD6550"/>
    <w:rsid w:val="00FD738E"/>
    <w:rsid w:val="00FE2043"/>
    <w:rsid w:val="00FE2736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46157D"/>
    <w:pPr>
      <w:numPr>
        <w:numId w:val="2"/>
      </w:numPr>
      <w:spacing w:before="120" w:after="120"/>
      <w:ind w:left="851" w:hanging="851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46157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50360A"/>
    <w:pPr>
      <w:spacing w:after="120"/>
      <w:ind w:firstLine="879"/>
    </w:pPr>
  </w:style>
  <w:style w:type="paragraph" w:customStyle="1" w:styleId="03">
    <w:name w:val="03. Дисклеймър"/>
    <w:basedOn w:val="Normal"/>
    <w:link w:val="03Char"/>
    <w:qFormat/>
    <w:rsid w:val="000355CA"/>
    <w:pPr>
      <w:spacing w:after="120"/>
    </w:pPr>
  </w:style>
  <w:style w:type="character" w:customStyle="1" w:styleId="02Char">
    <w:name w:val="02. Текст Char"/>
    <w:basedOn w:val="DefaultParagraphFont"/>
    <w:link w:val="02"/>
    <w:rsid w:val="0050360A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0355C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egy.bg/Publications/View.aspx?lang=bg-BG&amp;categoryId=&amp;Id=297&amp;y=&amp;m=&amp;d=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7546-6654-4557-80BD-4A67E20E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Admin</cp:lastModifiedBy>
  <cp:revision>2</cp:revision>
  <cp:lastPrinted>2019-05-16T09:20:00Z</cp:lastPrinted>
  <dcterms:created xsi:type="dcterms:W3CDTF">2025-05-08T11:43:00Z</dcterms:created>
  <dcterms:modified xsi:type="dcterms:W3CDTF">2025-05-08T11:43:00Z</dcterms:modified>
</cp:coreProperties>
</file>