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774" w:rsidRDefault="000751D7" w:rsidP="000751D7">
      <w:pPr>
        <w:jc w:val="right"/>
        <w:rPr>
          <w:rFonts w:ascii="Times New Roman" w:hAnsi="Times New Roman" w:cs="Times New Roman"/>
          <w:b/>
          <w:sz w:val="24"/>
          <w:szCs w:val="24"/>
        </w:rPr>
      </w:pPr>
      <w:bookmarkStart w:id="0" w:name="_GoBack"/>
      <w:bookmarkEnd w:id="0"/>
      <w:r w:rsidRPr="000751D7">
        <w:rPr>
          <w:rFonts w:ascii="Times New Roman" w:hAnsi="Times New Roman" w:cs="Times New Roman"/>
          <w:b/>
          <w:sz w:val="24"/>
          <w:szCs w:val="24"/>
        </w:rPr>
        <w:t>ПРОЕКТ</w:t>
      </w:r>
    </w:p>
    <w:p w:rsidR="000751D7" w:rsidRDefault="000751D7" w:rsidP="000751D7">
      <w:pPr>
        <w:jc w:val="right"/>
        <w:rPr>
          <w:rFonts w:ascii="Times New Roman" w:hAnsi="Times New Roman" w:cs="Times New Roman"/>
          <w:b/>
          <w:sz w:val="24"/>
          <w:szCs w:val="24"/>
        </w:rPr>
      </w:pPr>
    </w:p>
    <w:p w:rsidR="000751D7" w:rsidRPr="000751D7" w:rsidRDefault="000751D7" w:rsidP="000751D7">
      <w:pPr>
        <w:jc w:val="center"/>
        <w:rPr>
          <w:rFonts w:ascii="Times New Roman" w:hAnsi="Times New Roman" w:cs="Times New Roman"/>
          <w:sz w:val="24"/>
          <w:szCs w:val="24"/>
        </w:rPr>
      </w:pPr>
      <w:r w:rsidRPr="000751D7">
        <w:rPr>
          <w:rFonts w:ascii="Times New Roman" w:hAnsi="Times New Roman" w:cs="Times New Roman"/>
          <w:sz w:val="24"/>
          <w:szCs w:val="24"/>
        </w:rPr>
        <w:t>ПОСТАНОВЛЕНИЕ №………</w:t>
      </w:r>
    </w:p>
    <w:p w:rsidR="000751D7" w:rsidRDefault="000751D7" w:rsidP="000751D7">
      <w:pPr>
        <w:jc w:val="center"/>
        <w:rPr>
          <w:rFonts w:ascii="Times New Roman" w:hAnsi="Times New Roman" w:cs="Times New Roman"/>
          <w:sz w:val="24"/>
          <w:szCs w:val="24"/>
        </w:rPr>
      </w:pPr>
      <w:r>
        <w:rPr>
          <w:rFonts w:ascii="Times New Roman" w:hAnsi="Times New Roman" w:cs="Times New Roman"/>
          <w:sz w:val="24"/>
          <w:szCs w:val="24"/>
        </w:rPr>
        <w:t>о</w:t>
      </w:r>
      <w:r w:rsidRPr="000751D7">
        <w:rPr>
          <w:rFonts w:ascii="Times New Roman" w:hAnsi="Times New Roman" w:cs="Times New Roman"/>
          <w:sz w:val="24"/>
          <w:szCs w:val="24"/>
        </w:rPr>
        <w:t>т ………………………….2026 г.</w:t>
      </w:r>
    </w:p>
    <w:p w:rsidR="000751D7" w:rsidRDefault="000751D7" w:rsidP="000751D7">
      <w:pPr>
        <w:jc w:val="center"/>
        <w:rPr>
          <w:rFonts w:ascii="Times New Roman" w:hAnsi="Times New Roman" w:cs="Times New Roman"/>
          <w:sz w:val="24"/>
          <w:szCs w:val="24"/>
        </w:rPr>
      </w:pPr>
    </w:p>
    <w:p w:rsidR="00797465" w:rsidRDefault="000751D7" w:rsidP="00797465">
      <w:pPr>
        <w:ind w:left="284" w:firstLine="283"/>
        <w:jc w:val="both"/>
        <w:rPr>
          <w:rFonts w:ascii="Times New Roman" w:hAnsi="Times New Roman" w:cs="Times New Roman"/>
          <w:sz w:val="24"/>
          <w:szCs w:val="24"/>
        </w:rPr>
      </w:pPr>
      <w:r>
        <w:rPr>
          <w:rFonts w:ascii="Times New Roman" w:hAnsi="Times New Roman" w:cs="Times New Roman"/>
          <w:sz w:val="24"/>
          <w:szCs w:val="24"/>
        </w:rPr>
        <w:t xml:space="preserve">ЗА изменение и допълнение на </w:t>
      </w:r>
      <w:r w:rsidR="00797465">
        <w:rPr>
          <w:rFonts w:ascii="Times New Roman" w:hAnsi="Times New Roman" w:cs="Times New Roman"/>
          <w:sz w:val="24"/>
          <w:szCs w:val="24"/>
        </w:rPr>
        <w:t>нормативни актове на Министерския съвет</w:t>
      </w:r>
    </w:p>
    <w:p w:rsidR="003B14AC" w:rsidRDefault="003B14AC" w:rsidP="000751D7">
      <w:pPr>
        <w:jc w:val="center"/>
        <w:rPr>
          <w:rFonts w:ascii="Times New Roman" w:hAnsi="Times New Roman" w:cs="Times New Roman"/>
          <w:sz w:val="24"/>
          <w:szCs w:val="24"/>
        </w:rPr>
      </w:pPr>
    </w:p>
    <w:p w:rsidR="000751D7" w:rsidRDefault="000751D7" w:rsidP="000751D7">
      <w:pPr>
        <w:jc w:val="center"/>
        <w:rPr>
          <w:rFonts w:ascii="Times New Roman" w:hAnsi="Times New Roman" w:cs="Times New Roman"/>
          <w:sz w:val="24"/>
          <w:szCs w:val="24"/>
        </w:rPr>
      </w:pPr>
      <w:r>
        <w:rPr>
          <w:rFonts w:ascii="Times New Roman" w:hAnsi="Times New Roman" w:cs="Times New Roman"/>
          <w:sz w:val="24"/>
          <w:szCs w:val="24"/>
        </w:rPr>
        <w:t>М И Н И С Т Е Р С К И Я Т   С Ъ В Е Т</w:t>
      </w:r>
    </w:p>
    <w:p w:rsidR="000751D7" w:rsidRDefault="000751D7" w:rsidP="000751D7">
      <w:pPr>
        <w:jc w:val="center"/>
        <w:rPr>
          <w:rFonts w:ascii="Times New Roman" w:hAnsi="Times New Roman" w:cs="Times New Roman"/>
          <w:sz w:val="24"/>
          <w:szCs w:val="24"/>
        </w:rPr>
      </w:pPr>
      <w:r>
        <w:rPr>
          <w:rFonts w:ascii="Times New Roman" w:hAnsi="Times New Roman" w:cs="Times New Roman"/>
          <w:sz w:val="24"/>
          <w:szCs w:val="24"/>
        </w:rPr>
        <w:t>ПОСТАНОВИ:</w:t>
      </w:r>
    </w:p>
    <w:p w:rsidR="00797465" w:rsidRDefault="000751D7" w:rsidP="000751D7">
      <w:pPr>
        <w:ind w:firstLine="567"/>
        <w:jc w:val="both"/>
        <w:rPr>
          <w:rFonts w:ascii="Times New Roman" w:hAnsi="Times New Roman" w:cs="Times New Roman"/>
          <w:sz w:val="24"/>
          <w:szCs w:val="24"/>
        </w:rPr>
      </w:pPr>
      <w:r w:rsidRPr="00EC5436">
        <w:rPr>
          <w:rFonts w:ascii="Times New Roman" w:hAnsi="Times New Roman" w:cs="Times New Roman"/>
          <w:b/>
          <w:sz w:val="24"/>
          <w:szCs w:val="24"/>
        </w:rPr>
        <w:t>§ 1</w:t>
      </w:r>
      <w:r w:rsidRPr="000751D7">
        <w:rPr>
          <w:rFonts w:ascii="Times New Roman" w:hAnsi="Times New Roman" w:cs="Times New Roman"/>
          <w:b/>
          <w:sz w:val="24"/>
          <w:szCs w:val="24"/>
        </w:rPr>
        <w:t>.</w:t>
      </w:r>
      <w:r>
        <w:rPr>
          <w:rFonts w:ascii="Times New Roman" w:hAnsi="Times New Roman" w:cs="Times New Roman"/>
          <w:sz w:val="24"/>
          <w:szCs w:val="24"/>
        </w:rPr>
        <w:t xml:space="preserve"> </w:t>
      </w:r>
      <w:r w:rsidR="00797465">
        <w:rPr>
          <w:rFonts w:ascii="Times New Roman" w:hAnsi="Times New Roman" w:cs="Times New Roman"/>
          <w:sz w:val="24"/>
          <w:szCs w:val="24"/>
        </w:rPr>
        <w:t xml:space="preserve">В </w:t>
      </w:r>
      <w:r w:rsidR="00797465" w:rsidRPr="00797465">
        <w:rPr>
          <w:rFonts w:ascii="Times New Roman" w:hAnsi="Times New Roman" w:cs="Times New Roman"/>
          <w:sz w:val="24"/>
          <w:szCs w:val="24"/>
        </w:rPr>
        <w:t>Наредбата за Националния туристически регистър и за условията и реда за вписване в Националния регистър на туристическите забележителности, фестивали и събития, приета с Постановление № 252 на Министерския съвет от 2019 г. (обн., ДВ, бр. 81 от 2019 г., изм. и доп., бр. 12 от 2021 г.)</w:t>
      </w:r>
      <w:r w:rsidR="00797465">
        <w:rPr>
          <w:rFonts w:ascii="Times New Roman" w:hAnsi="Times New Roman" w:cs="Times New Roman"/>
          <w:sz w:val="24"/>
          <w:szCs w:val="24"/>
        </w:rPr>
        <w:t xml:space="preserve"> се правят следните изменения и допълнения:</w:t>
      </w:r>
    </w:p>
    <w:p w:rsidR="000751D7" w:rsidRPr="00797465" w:rsidRDefault="00797465" w:rsidP="00797465">
      <w:pPr>
        <w:ind w:firstLine="567"/>
        <w:jc w:val="both"/>
        <w:rPr>
          <w:rFonts w:ascii="Times New Roman" w:hAnsi="Times New Roman" w:cs="Times New Roman"/>
          <w:sz w:val="24"/>
          <w:szCs w:val="24"/>
        </w:rPr>
      </w:pPr>
      <w:r w:rsidRPr="00EC5436">
        <w:rPr>
          <w:rFonts w:ascii="Times New Roman" w:hAnsi="Times New Roman" w:cs="Times New Roman"/>
          <w:b/>
          <w:sz w:val="24"/>
          <w:szCs w:val="24"/>
        </w:rPr>
        <w:t>1.</w:t>
      </w:r>
      <w:r>
        <w:rPr>
          <w:rFonts w:ascii="Times New Roman" w:hAnsi="Times New Roman" w:cs="Times New Roman"/>
          <w:sz w:val="24"/>
          <w:szCs w:val="24"/>
        </w:rPr>
        <w:t xml:space="preserve"> </w:t>
      </w:r>
      <w:r w:rsidR="000751D7" w:rsidRPr="00797465">
        <w:rPr>
          <w:rFonts w:ascii="Times New Roman" w:hAnsi="Times New Roman" w:cs="Times New Roman"/>
          <w:sz w:val="24"/>
          <w:szCs w:val="24"/>
        </w:rPr>
        <w:t>В наименованието думите „и за условията и реда за вписване в Националния регистър на туристическите забележителности, фестивали и събития“ се заличават.</w:t>
      </w:r>
    </w:p>
    <w:p w:rsidR="000751D7" w:rsidRDefault="00797465" w:rsidP="000751D7">
      <w:pPr>
        <w:ind w:firstLine="567"/>
        <w:jc w:val="both"/>
        <w:rPr>
          <w:rFonts w:ascii="Times New Roman" w:hAnsi="Times New Roman" w:cs="Times New Roman"/>
          <w:sz w:val="24"/>
          <w:szCs w:val="24"/>
        </w:rPr>
      </w:pPr>
      <w:r w:rsidRPr="00EC5436">
        <w:rPr>
          <w:rFonts w:ascii="Times New Roman" w:hAnsi="Times New Roman" w:cs="Times New Roman"/>
          <w:b/>
          <w:sz w:val="24"/>
          <w:szCs w:val="24"/>
        </w:rPr>
        <w:t>2.</w:t>
      </w:r>
      <w:r w:rsidR="0069291B">
        <w:rPr>
          <w:rFonts w:ascii="Times New Roman" w:hAnsi="Times New Roman" w:cs="Times New Roman"/>
          <w:sz w:val="24"/>
          <w:szCs w:val="24"/>
        </w:rPr>
        <w:t xml:space="preserve"> </w:t>
      </w:r>
      <w:r w:rsidR="000751D7" w:rsidRPr="000751D7">
        <w:rPr>
          <w:rFonts w:ascii="Times New Roman" w:hAnsi="Times New Roman" w:cs="Times New Roman"/>
          <w:sz w:val="24"/>
          <w:szCs w:val="24"/>
        </w:rPr>
        <w:t>В чл. 1:</w:t>
      </w:r>
    </w:p>
    <w:p w:rsidR="000751D7" w:rsidRDefault="0069291B" w:rsidP="000751D7">
      <w:pPr>
        <w:ind w:firstLine="567"/>
        <w:jc w:val="both"/>
        <w:rPr>
          <w:rFonts w:ascii="Times New Roman" w:hAnsi="Times New Roman" w:cs="Times New Roman"/>
          <w:sz w:val="24"/>
          <w:szCs w:val="24"/>
        </w:rPr>
      </w:pPr>
      <w:r>
        <w:rPr>
          <w:rFonts w:ascii="Times New Roman" w:hAnsi="Times New Roman" w:cs="Times New Roman"/>
          <w:sz w:val="24"/>
          <w:szCs w:val="24"/>
        </w:rPr>
        <w:t>а)</w:t>
      </w:r>
      <w:r w:rsidR="000751D7">
        <w:rPr>
          <w:rFonts w:ascii="Times New Roman" w:hAnsi="Times New Roman" w:cs="Times New Roman"/>
          <w:sz w:val="24"/>
          <w:szCs w:val="24"/>
        </w:rPr>
        <w:t xml:space="preserve"> </w:t>
      </w:r>
      <w:r>
        <w:rPr>
          <w:rFonts w:ascii="Times New Roman" w:hAnsi="Times New Roman" w:cs="Times New Roman"/>
          <w:sz w:val="24"/>
          <w:szCs w:val="24"/>
        </w:rPr>
        <w:t>в</w:t>
      </w:r>
      <w:r w:rsidR="000751D7" w:rsidRPr="000751D7">
        <w:rPr>
          <w:rFonts w:ascii="Times New Roman" w:hAnsi="Times New Roman" w:cs="Times New Roman"/>
          <w:sz w:val="24"/>
          <w:szCs w:val="24"/>
        </w:rPr>
        <w:t xml:space="preserve"> ал. 1</w:t>
      </w:r>
      <w:r w:rsidR="000751D7">
        <w:rPr>
          <w:rFonts w:ascii="Times New Roman" w:hAnsi="Times New Roman" w:cs="Times New Roman"/>
          <w:sz w:val="24"/>
          <w:szCs w:val="24"/>
        </w:rPr>
        <w:t>:</w:t>
      </w:r>
    </w:p>
    <w:p w:rsidR="000751D7" w:rsidRDefault="0069291B" w:rsidP="000751D7">
      <w:pPr>
        <w:ind w:firstLine="567"/>
        <w:jc w:val="both"/>
        <w:rPr>
          <w:rFonts w:ascii="Times New Roman" w:hAnsi="Times New Roman" w:cs="Times New Roman"/>
          <w:sz w:val="24"/>
          <w:szCs w:val="24"/>
        </w:rPr>
      </w:pPr>
      <w:r>
        <w:rPr>
          <w:rFonts w:ascii="Times New Roman" w:hAnsi="Times New Roman" w:cs="Times New Roman"/>
          <w:sz w:val="24"/>
          <w:szCs w:val="24"/>
        </w:rPr>
        <w:t>а</w:t>
      </w:r>
      <w:r w:rsidR="000751D7">
        <w:rPr>
          <w:rFonts w:ascii="Times New Roman" w:hAnsi="Times New Roman" w:cs="Times New Roman"/>
          <w:sz w:val="24"/>
          <w:szCs w:val="24"/>
        </w:rPr>
        <w:t xml:space="preserve">а) в т. 1 след думите „ Закона за туризма“ се добавя „и Закона </w:t>
      </w:r>
      <w:r w:rsidR="000751D7" w:rsidRPr="000751D7">
        <w:rPr>
          <w:rFonts w:ascii="Times New Roman" w:hAnsi="Times New Roman" w:cs="Times New Roman"/>
          <w:sz w:val="24"/>
          <w:szCs w:val="24"/>
        </w:rPr>
        <w:t>за общите изисквания за безопасност при предоставяне на атракционни услуги, представляващи източник на повишена опасност</w:t>
      </w:r>
      <w:r w:rsidR="000751D7">
        <w:rPr>
          <w:rFonts w:ascii="Times New Roman" w:hAnsi="Times New Roman" w:cs="Times New Roman"/>
          <w:sz w:val="24"/>
          <w:szCs w:val="24"/>
        </w:rPr>
        <w:t>“;</w:t>
      </w:r>
    </w:p>
    <w:p w:rsidR="000751D7" w:rsidRDefault="0069291B" w:rsidP="000751D7">
      <w:pPr>
        <w:ind w:firstLine="567"/>
        <w:jc w:val="both"/>
        <w:rPr>
          <w:rFonts w:ascii="Times New Roman" w:hAnsi="Times New Roman" w:cs="Times New Roman"/>
          <w:sz w:val="24"/>
          <w:szCs w:val="24"/>
        </w:rPr>
      </w:pPr>
      <w:r>
        <w:rPr>
          <w:rFonts w:ascii="Times New Roman" w:hAnsi="Times New Roman" w:cs="Times New Roman"/>
          <w:sz w:val="24"/>
          <w:szCs w:val="24"/>
        </w:rPr>
        <w:t>б</w:t>
      </w:r>
      <w:r w:rsidR="000751D7">
        <w:rPr>
          <w:rFonts w:ascii="Times New Roman" w:hAnsi="Times New Roman" w:cs="Times New Roman"/>
          <w:sz w:val="24"/>
          <w:szCs w:val="24"/>
        </w:rPr>
        <w:t>б) създава се т. 4:</w:t>
      </w:r>
    </w:p>
    <w:p w:rsidR="000751D7" w:rsidRDefault="000751D7" w:rsidP="000751D7">
      <w:pPr>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0751D7">
        <w:rPr>
          <w:rFonts w:ascii="Times New Roman" w:hAnsi="Times New Roman" w:cs="Times New Roman"/>
          <w:sz w:val="24"/>
          <w:szCs w:val="24"/>
        </w:rPr>
        <w:t>условията и редът за поддържане и ползване на Регистъра на доставчиците на атракционни услуги, представляващи източник на повишена опасност.</w:t>
      </w:r>
      <w:r>
        <w:rPr>
          <w:rFonts w:ascii="Times New Roman" w:hAnsi="Times New Roman" w:cs="Times New Roman"/>
          <w:sz w:val="24"/>
          <w:szCs w:val="24"/>
        </w:rPr>
        <w:t>“</w:t>
      </w:r>
    </w:p>
    <w:p w:rsidR="000751D7" w:rsidRDefault="0069291B" w:rsidP="000751D7">
      <w:pPr>
        <w:ind w:firstLine="567"/>
        <w:jc w:val="both"/>
        <w:rPr>
          <w:rFonts w:ascii="Times New Roman" w:hAnsi="Times New Roman" w:cs="Times New Roman"/>
          <w:sz w:val="24"/>
          <w:szCs w:val="24"/>
        </w:rPr>
      </w:pPr>
      <w:r>
        <w:rPr>
          <w:rFonts w:ascii="Times New Roman" w:hAnsi="Times New Roman" w:cs="Times New Roman"/>
          <w:sz w:val="24"/>
          <w:szCs w:val="24"/>
        </w:rPr>
        <w:t>б)</w:t>
      </w:r>
      <w:r w:rsidR="000751D7">
        <w:rPr>
          <w:rFonts w:ascii="Times New Roman" w:hAnsi="Times New Roman" w:cs="Times New Roman"/>
          <w:sz w:val="24"/>
          <w:szCs w:val="24"/>
        </w:rPr>
        <w:t xml:space="preserve"> </w:t>
      </w:r>
      <w:r>
        <w:rPr>
          <w:rFonts w:ascii="Times New Roman" w:hAnsi="Times New Roman" w:cs="Times New Roman"/>
          <w:sz w:val="24"/>
          <w:szCs w:val="24"/>
        </w:rPr>
        <w:t>с</w:t>
      </w:r>
      <w:r w:rsidR="00F5442A">
        <w:rPr>
          <w:rFonts w:ascii="Times New Roman" w:hAnsi="Times New Roman" w:cs="Times New Roman"/>
          <w:sz w:val="24"/>
          <w:szCs w:val="24"/>
        </w:rPr>
        <w:t>ъздава се ал. 3:</w:t>
      </w:r>
    </w:p>
    <w:p w:rsidR="00F5442A" w:rsidRDefault="00F5442A" w:rsidP="000751D7">
      <w:pPr>
        <w:ind w:firstLine="567"/>
        <w:jc w:val="both"/>
        <w:rPr>
          <w:rFonts w:ascii="Times New Roman" w:hAnsi="Times New Roman" w:cs="Times New Roman"/>
          <w:sz w:val="24"/>
          <w:szCs w:val="24"/>
        </w:rPr>
      </w:pPr>
      <w:r>
        <w:rPr>
          <w:rFonts w:ascii="Times New Roman" w:hAnsi="Times New Roman" w:cs="Times New Roman"/>
          <w:sz w:val="24"/>
          <w:szCs w:val="24"/>
        </w:rPr>
        <w:t>„</w:t>
      </w:r>
      <w:r w:rsidRPr="00F5442A">
        <w:rPr>
          <w:rFonts w:ascii="Times New Roman" w:hAnsi="Times New Roman" w:cs="Times New Roman"/>
          <w:sz w:val="24"/>
          <w:szCs w:val="24"/>
        </w:rPr>
        <w:t>(3) Дейностите по ал. 1, т. 1 се извършват и осигуряват от администрациите на министъра на туризма и на кметовете на общини или кметовете на райони по отношение на вписаните от тях доставчици на атракционни услуги.</w:t>
      </w:r>
      <w:r>
        <w:rPr>
          <w:rFonts w:ascii="Times New Roman" w:hAnsi="Times New Roman" w:cs="Times New Roman"/>
          <w:sz w:val="24"/>
          <w:szCs w:val="24"/>
        </w:rPr>
        <w:t>“</w:t>
      </w:r>
    </w:p>
    <w:p w:rsidR="00F5442A" w:rsidRDefault="0069291B" w:rsidP="000751D7">
      <w:pPr>
        <w:ind w:firstLine="567"/>
        <w:jc w:val="both"/>
        <w:rPr>
          <w:rFonts w:ascii="Times New Roman" w:hAnsi="Times New Roman" w:cs="Times New Roman"/>
          <w:sz w:val="24"/>
          <w:szCs w:val="24"/>
        </w:rPr>
      </w:pPr>
      <w:r w:rsidRPr="00EC5436">
        <w:rPr>
          <w:rFonts w:ascii="Times New Roman" w:hAnsi="Times New Roman" w:cs="Times New Roman"/>
          <w:b/>
          <w:sz w:val="24"/>
          <w:szCs w:val="24"/>
        </w:rPr>
        <w:t>3</w:t>
      </w:r>
      <w:r w:rsidR="00F5442A" w:rsidRPr="00EC5436">
        <w:rPr>
          <w:rFonts w:ascii="Times New Roman" w:hAnsi="Times New Roman" w:cs="Times New Roman"/>
          <w:b/>
          <w:sz w:val="24"/>
          <w:szCs w:val="24"/>
        </w:rPr>
        <w:t>.</w:t>
      </w:r>
      <w:r>
        <w:rPr>
          <w:rFonts w:ascii="Times New Roman" w:hAnsi="Times New Roman" w:cs="Times New Roman"/>
          <w:sz w:val="24"/>
          <w:szCs w:val="24"/>
        </w:rPr>
        <w:t xml:space="preserve"> </w:t>
      </w:r>
      <w:r w:rsidR="00F5442A">
        <w:rPr>
          <w:rFonts w:ascii="Times New Roman" w:hAnsi="Times New Roman" w:cs="Times New Roman"/>
          <w:sz w:val="24"/>
          <w:szCs w:val="24"/>
        </w:rPr>
        <w:t>Създава се глава пета „Р</w:t>
      </w:r>
      <w:r w:rsidR="00F5442A" w:rsidRPr="00F5442A">
        <w:rPr>
          <w:rFonts w:ascii="Times New Roman" w:hAnsi="Times New Roman" w:cs="Times New Roman"/>
          <w:sz w:val="24"/>
          <w:szCs w:val="24"/>
        </w:rPr>
        <w:t>егистър на доставчиците на атракционни услуги, представляващи източник на повишена опасност</w:t>
      </w:r>
      <w:r w:rsidR="00F5442A">
        <w:rPr>
          <w:rFonts w:ascii="Times New Roman" w:hAnsi="Times New Roman" w:cs="Times New Roman"/>
          <w:sz w:val="24"/>
          <w:szCs w:val="24"/>
        </w:rPr>
        <w:t>“ с чл. 2</w:t>
      </w:r>
      <w:r w:rsidR="007005E5">
        <w:rPr>
          <w:rFonts w:ascii="Times New Roman" w:hAnsi="Times New Roman" w:cs="Times New Roman"/>
          <w:sz w:val="24"/>
          <w:szCs w:val="24"/>
        </w:rPr>
        <w:t>1</w:t>
      </w:r>
      <w:r w:rsidR="00F5442A">
        <w:rPr>
          <w:rFonts w:ascii="Times New Roman" w:hAnsi="Times New Roman" w:cs="Times New Roman"/>
          <w:sz w:val="24"/>
          <w:szCs w:val="24"/>
        </w:rPr>
        <w:t xml:space="preserve"> </w:t>
      </w:r>
      <w:r w:rsidR="007005E5">
        <w:rPr>
          <w:rFonts w:ascii="Times New Roman" w:hAnsi="Times New Roman" w:cs="Times New Roman"/>
          <w:sz w:val="24"/>
          <w:szCs w:val="24"/>
        </w:rPr>
        <w:t>–</w:t>
      </w:r>
      <w:r w:rsidR="00F5442A">
        <w:rPr>
          <w:rFonts w:ascii="Times New Roman" w:hAnsi="Times New Roman" w:cs="Times New Roman"/>
          <w:sz w:val="24"/>
          <w:szCs w:val="24"/>
        </w:rPr>
        <w:t xml:space="preserve"> </w:t>
      </w:r>
      <w:r w:rsidR="007005E5">
        <w:rPr>
          <w:rFonts w:ascii="Times New Roman" w:hAnsi="Times New Roman" w:cs="Times New Roman"/>
          <w:sz w:val="24"/>
          <w:szCs w:val="24"/>
        </w:rPr>
        <w:t>29:</w:t>
      </w:r>
    </w:p>
    <w:p w:rsidR="007005E5" w:rsidRPr="007005E5" w:rsidRDefault="007005E5" w:rsidP="007005E5">
      <w:pPr>
        <w:ind w:firstLine="567"/>
        <w:jc w:val="center"/>
        <w:rPr>
          <w:rFonts w:ascii="Times New Roman" w:hAnsi="Times New Roman" w:cs="Times New Roman"/>
          <w:sz w:val="24"/>
          <w:szCs w:val="24"/>
        </w:rPr>
      </w:pPr>
      <w:r w:rsidRPr="007005E5">
        <w:rPr>
          <w:rFonts w:ascii="Times New Roman" w:hAnsi="Times New Roman" w:cs="Times New Roman"/>
          <w:sz w:val="24"/>
          <w:szCs w:val="24"/>
        </w:rPr>
        <w:t>„Глава пета</w:t>
      </w:r>
    </w:p>
    <w:p w:rsidR="007005E5" w:rsidRPr="007005E5" w:rsidRDefault="007005E5" w:rsidP="007005E5">
      <w:pPr>
        <w:ind w:firstLine="567"/>
        <w:jc w:val="center"/>
        <w:rPr>
          <w:rFonts w:ascii="Times New Roman" w:hAnsi="Times New Roman" w:cs="Times New Roman"/>
          <w:sz w:val="24"/>
          <w:szCs w:val="24"/>
        </w:rPr>
      </w:pPr>
      <w:r w:rsidRPr="007005E5">
        <w:rPr>
          <w:rFonts w:ascii="Times New Roman" w:hAnsi="Times New Roman" w:cs="Times New Roman"/>
          <w:sz w:val="24"/>
          <w:szCs w:val="24"/>
        </w:rPr>
        <w:lastRenderedPageBreak/>
        <w:t>РЕГИСТЪР НА ДОСТАВЧИЦИТЕ НА АТРАКЦИОННИ УСЛУГИ, ПРЕДСТАВЛЯВАЩИ ИЗТОЧНИК НА ПОВИШЕНА 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21. (1) Регистърът на доставчиците на атракционни услуги, представляващи източник на повишена опасност, е публичен и се поддържа като електронна информационна система със свободен и безплатен достъп.</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Регистърът по ал. 1 е част от Националния туристически регистър съгласно чл. 6, ал. 1 ЗОИБПАУПИПО.</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На вписване в регистъра по ал. 1 подлежат обстоятелствата, предвидени в ЗОИБПАУПИПО и последвалите промени в тях.</w:t>
      </w:r>
    </w:p>
    <w:p w:rsidR="007005E5" w:rsidRDefault="007005E5" w:rsidP="007005E5">
      <w:pPr>
        <w:spacing w:after="0"/>
        <w:ind w:firstLine="567"/>
        <w:jc w:val="both"/>
        <w:rPr>
          <w:rFonts w:ascii="Times New Roman" w:hAnsi="Times New Roman" w:cs="Times New Roman"/>
          <w:sz w:val="24"/>
          <w:szCs w:val="24"/>
        </w:rPr>
      </w:pP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22. (1) В регистъра по чл. 21, ал. 1 се вписват доставчиците на: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1. услуги, за предоставянето на които се ползват увеселителни съоръжения, представляващи източник на повишена 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въздушноатракционни услуги;</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водноатракционни услуги във вътрешните морски води, териториалното море и вътрешните водни пътища;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водноатракционни услуги извън вътрешните морски води, териториалното море и вътрешните водни пътища.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 (2) Вписването по ал. 1, т. 2 и 3 се извършва от министъра на туризма или от оправомощено от него длъжностно лице.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Вписването по ал. 1, т. 1 и 4 се извършва от кмета на общината или кмета на района или от оправомощени от тях длъжностни лица.</w:t>
      </w:r>
    </w:p>
    <w:p w:rsidR="007005E5" w:rsidRPr="007005E5" w:rsidRDefault="007005E5" w:rsidP="007005E5">
      <w:pPr>
        <w:spacing w:after="0"/>
        <w:ind w:firstLine="567"/>
        <w:jc w:val="both"/>
        <w:rPr>
          <w:rFonts w:ascii="Times New Roman" w:hAnsi="Times New Roman" w:cs="Times New Roman"/>
          <w:sz w:val="24"/>
          <w:szCs w:val="24"/>
        </w:rPr>
      </w:pP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23. (1) Заявлението за вписване се подава по електронен път: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1. до министъра на туризма при предоставяне на въздушноатракционни услуги и  водноатракционни услуги във вътрешните морски води, териториалното море и вътрешните водни пътища, представляващи източник на повишена 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до кмета на общината или кмета на района при предоставяне на услуги, за предоставянето на които се ползват увеселителни съоръжения, представляващи източник на повишена опасност и на водноатракционни услуги извън вътрешните морски води, териториалното море и вътрешните водни пътища, представляващи източник на повишена 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Образецът на заявление, утвърден от министъра на туризма</w:t>
      </w:r>
      <w:r w:rsidR="009C1408">
        <w:rPr>
          <w:rFonts w:ascii="Times New Roman" w:hAnsi="Times New Roman" w:cs="Times New Roman"/>
          <w:sz w:val="24"/>
          <w:szCs w:val="24"/>
        </w:rPr>
        <w:t>,</w:t>
      </w:r>
      <w:r w:rsidRPr="007005E5">
        <w:rPr>
          <w:rFonts w:ascii="Times New Roman" w:hAnsi="Times New Roman" w:cs="Times New Roman"/>
          <w:sz w:val="24"/>
          <w:szCs w:val="24"/>
        </w:rPr>
        <w:t xml:space="preserve"> е публикуван на интернет страницата на Министерството на туризма.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При констатирана непълнота или нередовност на представените документи министърът на туризма, кметът на общината, кметът на района или оправомощено от тях длъжностно лице писмено уведомява заявителя да отстрани непълнотите или нередовностите в 14-дневен срок.</w:t>
      </w:r>
    </w:p>
    <w:p w:rsidR="007005E5" w:rsidRPr="007005E5" w:rsidRDefault="007005E5" w:rsidP="007005E5">
      <w:pPr>
        <w:spacing w:after="0"/>
        <w:ind w:firstLine="567"/>
        <w:jc w:val="both"/>
        <w:rPr>
          <w:rFonts w:ascii="Times New Roman" w:hAnsi="Times New Roman" w:cs="Times New Roman"/>
          <w:sz w:val="24"/>
          <w:szCs w:val="24"/>
        </w:rPr>
      </w:pP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24. (1) Вписването в регистъра се извършва чрез съответен интерфейс и сигурна комуникационна свързаност, като се въвеждат следните данни:</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1. имената, адрес, телефон и електронна поща – за физическите лица; </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lastRenderedPageBreak/>
        <w:t>2. ЕИК, наименование, седалище и адрес на управление, електронна поща и телефон – за едноличните търговци и юридическите лица;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вида на услугата по чл. 22, ал. 1;</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кратко описание на услугите, които ще бъдат предоставяни;</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3. място на предоставяне и териториален обхват на услугите;  </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отговорно лице по безопасността, с данни за контакт.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(2) Министърът на туризма, кметът на </w:t>
      </w:r>
      <w:r w:rsidR="002378D0">
        <w:rPr>
          <w:rFonts w:ascii="Times New Roman" w:hAnsi="Times New Roman" w:cs="Times New Roman"/>
          <w:sz w:val="24"/>
          <w:szCs w:val="24"/>
        </w:rPr>
        <w:t xml:space="preserve">съответната </w:t>
      </w:r>
      <w:r w:rsidRPr="007005E5">
        <w:rPr>
          <w:rFonts w:ascii="Times New Roman" w:hAnsi="Times New Roman" w:cs="Times New Roman"/>
          <w:sz w:val="24"/>
          <w:szCs w:val="24"/>
        </w:rPr>
        <w:t>община, кметът на района или оправомощено от тях длъжностно лице вписва доставчика на услугата в регистъра в 14-дневен срок от датата на получаване на заявлението или от отстраняване на непълнотите или нередовностите.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В регистъра се създава номер на регистрацията и се вписва датата на регистрацията.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Отказът от вписване в регистъра може да се обжалва по реда на Административнопроцесуалния кодекс.</w:t>
      </w:r>
    </w:p>
    <w:p w:rsidR="007005E5" w:rsidRPr="007005E5" w:rsidRDefault="007005E5" w:rsidP="007005E5">
      <w:pPr>
        <w:spacing w:after="0"/>
        <w:ind w:firstLine="567"/>
        <w:jc w:val="both"/>
        <w:rPr>
          <w:rFonts w:ascii="Times New Roman" w:hAnsi="Times New Roman" w:cs="Times New Roman"/>
          <w:sz w:val="24"/>
          <w:szCs w:val="24"/>
        </w:rPr>
      </w:pP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25. (1) Вписването в Регистъра на доставчиците на атракционни услуги, представляващи източник на повишена опасност, се извършва въз основа на данните, съдържащи се в представените документи:</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1. заявление за вписване;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план за безопасност при предоставяне на услугите;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проект на застрахователна полица на застраховка „Злополука“ на лицата, които ползват атракционни услуги, представляващи източник на повишена 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документ от производителя за съответствието на съоръженията, оборудването и екипировката с приложимите изисквания за безопасност, когато е налице такъв;</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5. сертификат за оценка на съответствието на съоръженията, оборудването или екипировката с приложимите изисквания за безопасност</w:t>
      </w:r>
      <w:r w:rsidR="002378D0">
        <w:rPr>
          <w:rFonts w:ascii="Times New Roman" w:hAnsi="Times New Roman" w:cs="Times New Roman"/>
          <w:sz w:val="24"/>
          <w:szCs w:val="24"/>
        </w:rPr>
        <w:t>, когато не е налице документа по т. 4</w:t>
      </w:r>
      <w:r w:rsidRPr="007005E5">
        <w:rPr>
          <w:rFonts w:ascii="Times New Roman" w:hAnsi="Times New Roman" w:cs="Times New Roman"/>
          <w:sz w:val="24"/>
          <w:szCs w:val="24"/>
        </w:rPr>
        <w:t>;</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6. сертификат за съответствието от предварителната проверка по чл. 23, ал. 5 ЗОИБПАУПИПО;</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7. документ за проверка на съответствието по отношение на въздушноатракционните услуги и по отношение на парашутните системи, използвани за парасейлинг от лицата, получили удостоверение по чл. 119е от Закона за гражданското въздухоплаване.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(2) Планът за безопасност </w:t>
      </w:r>
      <w:r w:rsidR="002378D0">
        <w:rPr>
          <w:rFonts w:ascii="Times New Roman" w:hAnsi="Times New Roman" w:cs="Times New Roman"/>
          <w:sz w:val="24"/>
          <w:szCs w:val="24"/>
        </w:rPr>
        <w:t xml:space="preserve">по ал. 1, т. 2 </w:t>
      </w:r>
      <w:r w:rsidRPr="007005E5">
        <w:rPr>
          <w:rFonts w:ascii="Times New Roman" w:hAnsi="Times New Roman" w:cs="Times New Roman"/>
          <w:sz w:val="24"/>
          <w:szCs w:val="24"/>
        </w:rPr>
        <w:t>трябва да е утвърден от доставчика на услугата съгласно чл. 9, ал. 1 ЗОИБПАУПИПО.</w:t>
      </w:r>
    </w:p>
    <w:p w:rsidR="007005E5" w:rsidRPr="007005E5" w:rsidRDefault="007005E5" w:rsidP="007005E5">
      <w:pPr>
        <w:spacing w:after="0"/>
        <w:ind w:firstLine="567"/>
        <w:jc w:val="both"/>
        <w:rPr>
          <w:rFonts w:ascii="Times New Roman" w:hAnsi="Times New Roman" w:cs="Times New Roman"/>
          <w:sz w:val="24"/>
          <w:szCs w:val="24"/>
        </w:rPr>
      </w:pP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26. (1) За всеки вписан доставчик на услуга, представляваща източник на повишена опасност, в регистъра се създава електронно досие.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В електронното досие се съхраняват следните документи:</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1. утвърден план за безопасност при предоставяне на услугите;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lastRenderedPageBreak/>
        <w:t>2. проект на застрахователна полица и копие от договора за застраховка „Злополука“ на лицата, които ползват атракционни услуги, представляващи източник на повишена 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документ от производителя за съответствие на съоръженията, оборудването и екипировката, с които се предоставят атракционните услуги, представляващи източник на повишена опасност, с приложимите изисквания за безопасност.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сертификат за оценка на съответствието с приложимите изисквания за безопасност, издаден от акредитиран орган, когато за съоръженията, оборудването или екипировката не са налице документи от производителя.</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(3) Копието от договора за застраховка „Злополука“ на лицата, които ползват атракционни услуги, представляващи източник на повишена опасност, по ал. 2, т. 2 се представя в 7-дневен срок от сключването или подновяването му. </w:t>
      </w:r>
    </w:p>
    <w:p w:rsidR="007005E5" w:rsidRPr="007005E5" w:rsidRDefault="007005E5" w:rsidP="007005E5">
      <w:pPr>
        <w:spacing w:after="0"/>
        <w:ind w:firstLine="567"/>
        <w:jc w:val="both"/>
        <w:rPr>
          <w:rFonts w:ascii="Times New Roman" w:hAnsi="Times New Roman" w:cs="Times New Roman"/>
          <w:sz w:val="24"/>
          <w:szCs w:val="24"/>
        </w:rPr>
      </w:pP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27. (1) При промяна на данните по чл. 24, ал. 1 доставчикът на услугата подава заявление до министъра на туризма, кмета на съответната община или кмета на района в 14-дневен срок от настъпването на промяната, като прилага документи, удостоверяващи промяната.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Образецът на заявление, утвърден от министъра на туризма, е публикуван интернет страницата на Министерството на туризма.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Министърът на туризма, кметът на съответната община, кметът на района или оправомощено от тях длъжностно лице вписва промяната в регистъра в 14-дневен срок от датата на получаване на заявлението.</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Последващите вписвания се извършват така, че да не бъде засегната информацията, съдържаща се в предходни вписвания.</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 </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28. (1) Вписването в регистъра на доставчик на услуга, представляваща източник на повишена опасност, се заличава: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1. по писмено искане на вписаното лице;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когато вписването е извършено въз основа на неверни данни, неистински документи или на документи с невярно съдържание;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при извършени системни нарушения по Закона за общите изисквания за безопасност при предоставяне на атракционни услуги, представляващи източник на повишена опасност и актовете по неговото прилагане;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при извършване на дейност без валидна застраховка „Злополука“ на лицата, които ползват атракционни услуги, представляващи източник на повишена опасност;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5. когато не е представено копие от договора за застраховка „Злополука“ в 7-дневен срок от сключването или подновяването му.</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Вписването се заличава със заличаването на едноличния търговец или юридическото лице в Търговския регистър и регистъра на юридическите лица с нестопанска цел.</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lastRenderedPageBreak/>
        <w:t>(3) Заличаването на вписването в регистъра се извършва със заповед на органа, извършил вписването, в 14 дневен срок от:</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1. постъпване на искането по ал. 1, т. 1;</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констатиране на нарушението по ал. 1, т. 2, 3 и 4;</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датата на изтичането на последния сключен договор за застраховка;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 xml:space="preserve">4. установяване при служебната проверка на заличаването на едноличния търговец или на юридическото лице </w:t>
      </w:r>
      <w:r w:rsidR="000562FD" w:rsidRPr="000562FD">
        <w:rPr>
          <w:rFonts w:ascii="Times New Roman" w:hAnsi="Times New Roman" w:cs="Times New Roman"/>
          <w:sz w:val="24"/>
          <w:szCs w:val="24"/>
        </w:rPr>
        <w:t>в Търговския регистър и регистъра на юридическите лица с нестопанска цел.</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Заповедта за заличаване на вписването подлежи на обжалване по реда на Административнопроцесуалния кодекс.</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(5) Когато се заличава вписване, в съответното поле се посочват датата на заличаването, както и основанието за това заличаване.</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w:t>
      </w:r>
      <w:r w:rsidR="00FB3E30">
        <w:rPr>
          <w:rFonts w:ascii="Times New Roman" w:hAnsi="Times New Roman" w:cs="Times New Roman"/>
          <w:sz w:val="24"/>
          <w:szCs w:val="24"/>
        </w:rPr>
        <w:t>6</w:t>
      </w:r>
      <w:r w:rsidRPr="007005E5">
        <w:rPr>
          <w:rFonts w:ascii="Times New Roman" w:hAnsi="Times New Roman" w:cs="Times New Roman"/>
          <w:sz w:val="24"/>
          <w:szCs w:val="24"/>
        </w:rPr>
        <w:t>) Заличаването не унищожава или поврежда информацията относно заличеното вписване.</w:t>
      </w:r>
    </w:p>
    <w:p w:rsidR="007005E5" w:rsidRPr="007005E5" w:rsidRDefault="007005E5" w:rsidP="007005E5">
      <w:pPr>
        <w:spacing w:after="0"/>
        <w:ind w:firstLine="567"/>
        <w:jc w:val="both"/>
        <w:rPr>
          <w:rFonts w:ascii="Times New Roman" w:hAnsi="Times New Roman" w:cs="Times New Roman"/>
          <w:sz w:val="24"/>
          <w:szCs w:val="24"/>
        </w:rPr>
      </w:pP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Чл. 29. (1) Регистърът на доставчиците на атракционни услуги, представляващи източник на повишена опасност</w:t>
      </w:r>
      <w:r w:rsidR="000562FD">
        <w:rPr>
          <w:rFonts w:ascii="Times New Roman" w:hAnsi="Times New Roman" w:cs="Times New Roman"/>
          <w:sz w:val="24"/>
          <w:szCs w:val="24"/>
        </w:rPr>
        <w:t>,</w:t>
      </w:r>
      <w:r w:rsidRPr="007005E5">
        <w:rPr>
          <w:rFonts w:ascii="Times New Roman" w:hAnsi="Times New Roman" w:cs="Times New Roman"/>
          <w:sz w:val="24"/>
          <w:szCs w:val="24"/>
        </w:rPr>
        <w:t xml:space="preserve"> е публичен. </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(2) Достъпът до информацията в регистъра се осигурява чрез интернет страницата на Министерството на туризма.</w:t>
      </w:r>
    </w:p>
    <w:p w:rsidR="007005E5" w:rsidRP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(3) Информацията се публикува и в отворен машинночетим формат, позволяващ директна повторна употреба на данните, по реда на Закона за достъп до обществена информация.</w:t>
      </w:r>
    </w:p>
    <w:p w:rsid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sz w:val="24"/>
          <w:szCs w:val="24"/>
        </w:rPr>
        <w:t>(4) Кметовете на общини и кметовете на райони осигуряват публичен достъп до данните, като указват връзката към регистъра от поддържаните от тях страници в интернет.</w:t>
      </w:r>
    </w:p>
    <w:p w:rsidR="007005E5" w:rsidRDefault="007005E5" w:rsidP="007005E5">
      <w:pPr>
        <w:spacing w:after="0"/>
        <w:ind w:firstLine="567"/>
        <w:jc w:val="both"/>
        <w:rPr>
          <w:rFonts w:ascii="Times New Roman" w:hAnsi="Times New Roman" w:cs="Times New Roman"/>
          <w:sz w:val="24"/>
          <w:szCs w:val="24"/>
        </w:rPr>
      </w:pPr>
    </w:p>
    <w:p w:rsidR="007005E5" w:rsidRDefault="0069291B" w:rsidP="007005E5">
      <w:pPr>
        <w:spacing w:after="0"/>
        <w:ind w:firstLine="567"/>
        <w:jc w:val="both"/>
        <w:rPr>
          <w:rFonts w:ascii="Times New Roman" w:hAnsi="Times New Roman" w:cs="Times New Roman"/>
          <w:sz w:val="24"/>
          <w:szCs w:val="24"/>
        </w:rPr>
      </w:pPr>
      <w:r>
        <w:rPr>
          <w:rFonts w:ascii="Times New Roman" w:hAnsi="Times New Roman" w:cs="Times New Roman"/>
          <w:b/>
          <w:sz w:val="24"/>
          <w:szCs w:val="24"/>
        </w:rPr>
        <w:t>4</w:t>
      </w:r>
      <w:r w:rsidR="007005E5" w:rsidRPr="007005E5">
        <w:rPr>
          <w:rFonts w:ascii="Times New Roman" w:hAnsi="Times New Roman" w:cs="Times New Roman"/>
          <w:b/>
          <w:sz w:val="24"/>
          <w:szCs w:val="24"/>
        </w:rPr>
        <w:t>.</w:t>
      </w:r>
      <w:r w:rsidR="007005E5">
        <w:rPr>
          <w:rFonts w:ascii="Times New Roman" w:hAnsi="Times New Roman" w:cs="Times New Roman"/>
          <w:sz w:val="24"/>
          <w:szCs w:val="24"/>
        </w:rPr>
        <w:t xml:space="preserve"> В § 1 от </w:t>
      </w:r>
      <w:r w:rsidR="008A20A3">
        <w:rPr>
          <w:rFonts w:ascii="Times New Roman" w:hAnsi="Times New Roman" w:cs="Times New Roman"/>
          <w:sz w:val="24"/>
          <w:szCs w:val="24"/>
        </w:rPr>
        <w:t>д</w:t>
      </w:r>
      <w:r w:rsidR="007005E5">
        <w:rPr>
          <w:rFonts w:ascii="Times New Roman" w:hAnsi="Times New Roman" w:cs="Times New Roman"/>
          <w:sz w:val="24"/>
          <w:szCs w:val="24"/>
        </w:rPr>
        <w:t>опълнителната разпоредба се създава т. 6:</w:t>
      </w:r>
    </w:p>
    <w:p w:rsidR="007005E5" w:rsidRDefault="007005E5" w:rsidP="007005E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7005E5">
        <w:rPr>
          <w:rFonts w:ascii="Times New Roman" w:hAnsi="Times New Roman" w:cs="Times New Roman"/>
          <w:sz w:val="24"/>
          <w:szCs w:val="24"/>
        </w:rPr>
        <w:t>Системни нарушения е понятието по смисъла на § 1, т. 6 от допълнителната разпоредба на Закона за общите изисквания за безопасност при предоставяне на атракционни услуги, представляващи източник на повишена опасност.</w:t>
      </w:r>
      <w:r>
        <w:rPr>
          <w:rFonts w:ascii="Times New Roman" w:hAnsi="Times New Roman" w:cs="Times New Roman"/>
          <w:sz w:val="24"/>
          <w:szCs w:val="24"/>
        </w:rPr>
        <w:t>“</w:t>
      </w:r>
    </w:p>
    <w:p w:rsidR="007005E5" w:rsidRDefault="007005E5" w:rsidP="007005E5">
      <w:pPr>
        <w:spacing w:after="0"/>
        <w:ind w:firstLine="567"/>
        <w:jc w:val="both"/>
        <w:rPr>
          <w:rFonts w:ascii="Times New Roman" w:hAnsi="Times New Roman" w:cs="Times New Roman"/>
          <w:sz w:val="24"/>
          <w:szCs w:val="24"/>
        </w:rPr>
      </w:pPr>
    </w:p>
    <w:p w:rsidR="007005E5" w:rsidRDefault="007005E5" w:rsidP="007005E5">
      <w:pPr>
        <w:spacing w:after="0"/>
        <w:ind w:firstLine="567"/>
        <w:jc w:val="both"/>
        <w:rPr>
          <w:rFonts w:ascii="Times New Roman" w:hAnsi="Times New Roman" w:cs="Times New Roman"/>
          <w:sz w:val="24"/>
          <w:szCs w:val="24"/>
        </w:rPr>
      </w:pPr>
      <w:r w:rsidRPr="007005E5">
        <w:rPr>
          <w:rFonts w:ascii="Times New Roman" w:hAnsi="Times New Roman" w:cs="Times New Roman"/>
          <w:b/>
          <w:sz w:val="24"/>
          <w:szCs w:val="24"/>
        </w:rPr>
        <w:t xml:space="preserve">5. </w:t>
      </w:r>
      <w:r w:rsidRPr="007005E5">
        <w:rPr>
          <w:rFonts w:ascii="Times New Roman" w:hAnsi="Times New Roman" w:cs="Times New Roman"/>
          <w:sz w:val="24"/>
          <w:szCs w:val="24"/>
        </w:rPr>
        <w:t xml:space="preserve">В § 4 от заключителните разпоредби </w:t>
      </w:r>
      <w:r w:rsidR="003C125E">
        <w:rPr>
          <w:rFonts w:ascii="Times New Roman" w:hAnsi="Times New Roman" w:cs="Times New Roman"/>
          <w:sz w:val="24"/>
          <w:szCs w:val="24"/>
        </w:rPr>
        <w:t>след думите „</w:t>
      </w:r>
      <w:r w:rsidR="003C125E" w:rsidRPr="003C125E">
        <w:rPr>
          <w:rFonts w:ascii="Times New Roman" w:hAnsi="Times New Roman" w:cs="Times New Roman"/>
          <w:sz w:val="24"/>
          <w:szCs w:val="24"/>
        </w:rPr>
        <w:t>Закона за туризма</w:t>
      </w:r>
      <w:r w:rsidR="003C125E">
        <w:rPr>
          <w:rFonts w:ascii="Times New Roman" w:hAnsi="Times New Roman" w:cs="Times New Roman"/>
          <w:sz w:val="24"/>
          <w:szCs w:val="24"/>
        </w:rPr>
        <w:t>“ се добавя „</w:t>
      </w:r>
      <w:r w:rsidR="003C125E" w:rsidRPr="003C125E">
        <w:rPr>
          <w:rFonts w:ascii="Times New Roman" w:hAnsi="Times New Roman" w:cs="Times New Roman"/>
          <w:sz w:val="24"/>
          <w:szCs w:val="24"/>
        </w:rPr>
        <w:t>и чл. 7, ал. 12 от Закона за общите изисквания за безопасност при предоставяне на атракционни услуги, представляващ</w:t>
      </w:r>
      <w:r w:rsidR="003C125E">
        <w:rPr>
          <w:rFonts w:ascii="Times New Roman" w:hAnsi="Times New Roman" w:cs="Times New Roman"/>
          <w:sz w:val="24"/>
          <w:szCs w:val="24"/>
        </w:rPr>
        <w:t>и източник на повишена опасност“.</w:t>
      </w:r>
    </w:p>
    <w:p w:rsidR="003B14AC" w:rsidRDefault="003B14AC" w:rsidP="007005E5">
      <w:pPr>
        <w:spacing w:after="0"/>
        <w:ind w:firstLine="567"/>
        <w:jc w:val="both"/>
        <w:rPr>
          <w:rFonts w:ascii="Times New Roman" w:hAnsi="Times New Roman" w:cs="Times New Roman"/>
          <w:sz w:val="24"/>
          <w:szCs w:val="24"/>
        </w:rPr>
      </w:pPr>
    </w:p>
    <w:p w:rsidR="007005E5" w:rsidRPr="007005E5" w:rsidRDefault="00FB3E30" w:rsidP="000751D7">
      <w:pPr>
        <w:ind w:firstLine="567"/>
        <w:jc w:val="both"/>
        <w:rPr>
          <w:rFonts w:ascii="Times New Roman" w:hAnsi="Times New Roman" w:cs="Times New Roman"/>
          <w:sz w:val="24"/>
          <w:szCs w:val="24"/>
        </w:rPr>
      </w:pPr>
      <w:r w:rsidRPr="00FB3E30">
        <w:rPr>
          <w:rFonts w:ascii="Times New Roman" w:hAnsi="Times New Roman" w:cs="Times New Roman"/>
          <w:b/>
          <w:sz w:val="24"/>
          <w:szCs w:val="24"/>
        </w:rPr>
        <w:t>6.</w:t>
      </w:r>
      <w:r>
        <w:rPr>
          <w:rFonts w:ascii="Times New Roman" w:hAnsi="Times New Roman" w:cs="Times New Roman"/>
          <w:sz w:val="24"/>
          <w:szCs w:val="24"/>
        </w:rPr>
        <w:t xml:space="preserve"> Навсякъде </w:t>
      </w:r>
      <w:r w:rsidR="001535F2">
        <w:rPr>
          <w:rFonts w:ascii="Times New Roman" w:hAnsi="Times New Roman" w:cs="Times New Roman"/>
          <w:sz w:val="24"/>
          <w:szCs w:val="24"/>
        </w:rPr>
        <w:t xml:space="preserve">в наредбата </w:t>
      </w:r>
      <w:r>
        <w:rPr>
          <w:rFonts w:ascii="Times New Roman" w:hAnsi="Times New Roman" w:cs="Times New Roman"/>
          <w:sz w:val="24"/>
          <w:szCs w:val="24"/>
        </w:rPr>
        <w:t xml:space="preserve">думите „институционалната страница“ се заменят с </w:t>
      </w:r>
      <w:r w:rsidR="00A86806">
        <w:rPr>
          <w:rFonts w:ascii="Times New Roman" w:hAnsi="Times New Roman" w:cs="Times New Roman"/>
          <w:sz w:val="24"/>
          <w:szCs w:val="24"/>
        </w:rPr>
        <w:t>„</w:t>
      </w:r>
      <w:r>
        <w:rPr>
          <w:rFonts w:ascii="Times New Roman" w:hAnsi="Times New Roman" w:cs="Times New Roman"/>
          <w:sz w:val="24"/>
          <w:szCs w:val="24"/>
        </w:rPr>
        <w:t>интернет страницата“.</w:t>
      </w:r>
    </w:p>
    <w:p w:rsidR="00EC5436" w:rsidRPr="00EC5436" w:rsidRDefault="0069291B" w:rsidP="00EC5436">
      <w:pPr>
        <w:ind w:firstLine="567"/>
        <w:jc w:val="both"/>
        <w:rPr>
          <w:rFonts w:ascii="Times New Roman" w:hAnsi="Times New Roman" w:cs="Times New Roman"/>
          <w:sz w:val="24"/>
          <w:szCs w:val="24"/>
        </w:rPr>
      </w:pPr>
      <w:r w:rsidRPr="000562FD">
        <w:rPr>
          <w:rFonts w:ascii="Times New Roman" w:hAnsi="Times New Roman" w:cs="Times New Roman"/>
          <w:b/>
          <w:sz w:val="24"/>
          <w:szCs w:val="24"/>
        </w:rPr>
        <w:t>§ 2.</w:t>
      </w:r>
      <w:r>
        <w:rPr>
          <w:rFonts w:ascii="Times New Roman" w:hAnsi="Times New Roman" w:cs="Times New Roman"/>
          <w:b/>
          <w:sz w:val="24"/>
          <w:szCs w:val="24"/>
        </w:rPr>
        <w:t xml:space="preserve"> </w:t>
      </w:r>
      <w:r w:rsidR="00EC5436" w:rsidRPr="00EC5436">
        <w:rPr>
          <w:rFonts w:ascii="Times New Roman" w:hAnsi="Times New Roman" w:cs="Times New Roman"/>
          <w:sz w:val="24"/>
          <w:szCs w:val="24"/>
        </w:rPr>
        <w:t>В Тарифата за таксите, които се събират по Закона за туризма, приета с Постановление № 118 на Министерския съвет от 2021 г. (обн., ДВ, бр. 28 от 2021 г., изм., бр. 79 от 2025 г.) се правят следните допълнения:</w:t>
      </w:r>
    </w:p>
    <w:p w:rsidR="00EC5436" w:rsidRPr="00EC5436" w:rsidRDefault="00EC5436" w:rsidP="00EC5436">
      <w:pPr>
        <w:ind w:firstLine="567"/>
        <w:jc w:val="both"/>
        <w:rPr>
          <w:rFonts w:ascii="Times New Roman" w:hAnsi="Times New Roman" w:cs="Times New Roman"/>
          <w:sz w:val="24"/>
          <w:szCs w:val="24"/>
        </w:rPr>
      </w:pPr>
      <w:r w:rsidRPr="00EC5436">
        <w:rPr>
          <w:rFonts w:ascii="Times New Roman" w:hAnsi="Times New Roman" w:cs="Times New Roman"/>
          <w:b/>
          <w:sz w:val="24"/>
          <w:szCs w:val="24"/>
        </w:rPr>
        <w:lastRenderedPageBreak/>
        <w:t>1.</w:t>
      </w:r>
      <w:r w:rsidRPr="00EC5436">
        <w:rPr>
          <w:rFonts w:ascii="Times New Roman" w:hAnsi="Times New Roman" w:cs="Times New Roman"/>
          <w:sz w:val="24"/>
          <w:szCs w:val="24"/>
        </w:rPr>
        <w:t xml:space="preserve"> Създава се чл. 11:</w:t>
      </w:r>
    </w:p>
    <w:p w:rsidR="00EC5436" w:rsidRPr="00EC5436" w:rsidRDefault="00EC5436" w:rsidP="00EC5436">
      <w:pPr>
        <w:ind w:firstLine="567"/>
        <w:jc w:val="both"/>
        <w:rPr>
          <w:rFonts w:ascii="Times New Roman" w:hAnsi="Times New Roman" w:cs="Times New Roman"/>
          <w:sz w:val="24"/>
          <w:szCs w:val="24"/>
        </w:rPr>
      </w:pPr>
      <w:r w:rsidRPr="00EC5436">
        <w:rPr>
          <w:rFonts w:ascii="Times New Roman" w:hAnsi="Times New Roman" w:cs="Times New Roman"/>
          <w:sz w:val="24"/>
          <w:szCs w:val="24"/>
        </w:rPr>
        <w:t xml:space="preserve">„Чл. 11. (1) За първоначално вписване на доставчик на атракционни услуги в НТР се събира такса </w:t>
      </w:r>
      <w:r w:rsidR="00FA185E" w:rsidRPr="00FA185E">
        <w:rPr>
          <w:rFonts w:ascii="Times New Roman" w:hAnsi="Times New Roman" w:cs="Times New Roman"/>
          <w:sz w:val="24"/>
          <w:szCs w:val="24"/>
        </w:rPr>
        <w:t xml:space="preserve">148,71 </w:t>
      </w:r>
      <w:r w:rsidRPr="00EC5436">
        <w:rPr>
          <w:rFonts w:ascii="Times New Roman" w:hAnsi="Times New Roman" w:cs="Times New Roman"/>
          <w:sz w:val="24"/>
          <w:szCs w:val="24"/>
        </w:rPr>
        <w:t>евро.</w:t>
      </w:r>
    </w:p>
    <w:p w:rsidR="00EC5436" w:rsidRPr="00EC5436" w:rsidRDefault="00EC5436" w:rsidP="00EC5436">
      <w:pPr>
        <w:ind w:firstLine="567"/>
        <w:jc w:val="both"/>
        <w:rPr>
          <w:rFonts w:ascii="Times New Roman" w:hAnsi="Times New Roman" w:cs="Times New Roman"/>
          <w:sz w:val="24"/>
          <w:szCs w:val="24"/>
        </w:rPr>
      </w:pPr>
      <w:r w:rsidRPr="00EC5436">
        <w:rPr>
          <w:rFonts w:ascii="Times New Roman" w:hAnsi="Times New Roman" w:cs="Times New Roman"/>
          <w:sz w:val="24"/>
          <w:szCs w:val="24"/>
        </w:rPr>
        <w:t>(2) За вписване на промени в</w:t>
      </w:r>
      <w:r w:rsidR="005B7ED9">
        <w:rPr>
          <w:rFonts w:ascii="Times New Roman" w:hAnsi="Times New Roman" w:cs="Times New Roman"/>
          <w:sz w:val="24"/>
          <w:szCs w:val="24"/>
        </w:rPr>
        <w:t xml:space="preserve"> </w:t>
      </w:r>
      <w:r w:rsidRPr="00EC5436">
        <w:rPr>
          <w:rFonts w:ascii="Times New Roman" w:hAnsi="Times New Roman" w:cs="Times New Roman"/>
          <w:sz w:val="24"/>
          <w:szCs w:val="24"/>
        </w:rPr>
        <w:t xml:space="preserve">обстоятелствата относно регистриран доставчик на атракционни услуги се събира такса </w:t>
      </w:r>
      <w:r w:rsidR="00FD6CC0">
        <w:rPr>
          <w:rFonts w:ascii="Times New Roman" w:hAnsi="Times New Roman" w:cs="Times New Roman"/>
          <w:sz w:val="24"/>
          <w:szCs w:val="24"/>
        </w:rPr>
        <w:t>15,34 е</w:t>
      </w:r>
      <w:r w:rsidRPr="00EC5436">
        <w:rPr>
          <w:rFonts w:ascii="Times New Roman" w:hAnsi="Times New Roman" w:cs="Times New Roman"/>
          <w:sz w:val="24"/>
          <w:szCs w:val="24"/>
        </w:rPr>
        <w:t xml:space="preserve">вро.“  </w:t>
      </w:r>
    </w:p>
    <w:p w:rsidR="000751D7" w:rsidRDefault="00EC5436" w:rsidP="00EC5436">
      <w:pPr>
        <w:ind w:firstLine="567"/>
        <w:jc w:val="both"/>
        <w:rPr>
          <w:rFonts w:ascii="Times New Roman" w:hAnsi="Times New Roman" w:cs="Times New Roman"/>
          <w:sz w:val="24"/>
          <w:szCs w:val="24"/>
        </w:rPr>
      </w:pPr>
      <w:r w:rsidRPr="00EC5436">
        <w:rPr>
          <w:rFonts w:ascii="Times New Roman" w:hAnsi="Times New Roman" w:cs="Times New Roman"/>
          <w:b/>
          <w:sz w:val="24"/>
          <w:szCs w:val="24"/>
        </w:rPr>
        <w:t>2.</w:t>
      </w:r>
      <w:r w:rsidRPr="00EC5436">
        <w:rPr>
          <w:rFonts w:ascii="Times New Roman" w:hAnsi="Times New Roman" w:cs="Times New Roman"/>
          <w:sz w:val="24"/>
          <w:szCs w:val="24"/>
        </w:rPr>
        <w:t xml:space="preserve"> В § 3 от преходните и заключителните разпоредби след думите „чл. 69, ал. 3 от Закона за туризма“ се поставя запетая и се добавя „чл. 6, ал. 5 от Закона за общите изисквания за безопасност при предоставяне на атракционни услуги, представляващи източник на повишена опасност“.</w:t>
      </w:r>
    </w:p>
    <w:p w:rsidR="00EC5436" w:rsidRPr="00EC5436" w:rsidRDefault="00EC5436" w:rsidP="00EC5436">
      <w:pPr>
        <w:ind w:firstLine="567"/>
        <w:jc w:val="both"/>
        <w:rPr>
          <w:rFonts w:ascii="Times New Roman" w:hAnsi="Times New Roman" w:cs="Times New Roman"/>
          <w:sz w:val="24"/>
          <w:szCs w:val="24"/>
        </w:rPr>
      </w:pPr>
    </w:p>
    <w:sectPr w:rsidR="00EC5436" w:rsidRPr="00EC5436" w:rsidSect="00903DBE">
      <w:footerReference w:type="default" r:id="rId8"/>
      <w:headerReference w:type="first" r:id="rId9"/>
      <w:footerReference w:type="first" r:id="rId10"/>
      <w:pgSz w:w="11906" w:h="16838"/>
      <w:pgMar w:top="1417" w:right="1417" w:bottom="1276"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A2F" w:rsidRDefault="00490A2F" w:rsidP="00F12239">
      <w:pPr>
        <w:spacing w:after="0" w:line="240" w:lineRule="auto"/>
      </w:pPr>
      <w:r>
        <w:separator/>
      </w:r>
    </w:p>
  </w:endnote>
  <w:endnote w:type="continuationSeparator" w:id="0">
    <w:p w:rsidR="00490A2F" w:rsidRDefault="00490A2F" w:rsidP="00F1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899245"/>
      <w:docPartObj>
        <w:docPartGallery w:val="Page Numbers (Bottom of Page)"/>
        <w:docPartUnique/>
      </w:docPartObj>
    </w:sdtPr>
    <w:sdtEndPr>
      <w:rPr>
        <w:noProof/>
      </w:rPr>
    </w:sdtEndPr>
    <w:sdtContent>
      <w:p w:rsidR="00F12239" w:rsidRDefault="00F12239">
        <w:pPr>
          <w:pStyle w:val="Footer"/>
          <w:jc w:val="right"/>
        </w:pPr>
        <w:r>
          <w:fldChar w:fldCharType="begin"/>
        </w:r>
        <w:r>
          <w:instrText xml:space="preserve"> PAGE   \* MERGEFORMAT </w:instrText>
        </w:r>
        <w:r>
          <w:fldChar w:fldCharType="separate"/>
        </w:r>
        <w:r w:rsidR="00AC752D">
          <w:rPr>
            <w:noProof/>
          </w:rPr>
          <w:t>3</w:t>
        </w:r>
        <w:r>
          <w:rPr>
            <w:noProof/>
          </w:rPr>
          <w:fldChar w:fldCharType="end"/>
        </w:r>
      </w:p>
    </w:sdtContent>
  </w:sdt>
  <w:p w:rsidR="00F12239" w:rsidRDefault="00F12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39" w:rsidRPr="00F12239" w:rsidRDefault="00F12239" w:rsidP="0069291B">
    <w:pPr>
      <w:pStyle w:val="Footer"/>
      <w:jc w:val="center"/>
      <w:rPr>
        <w:rFonts w:ascii="Times New Roman" w:hAnsi="Times New Roman" w:cs="Times New Roman"/>
        <w:i/>
      </w:rPr>
    </w:pPr>
    <w:r w:rsidRPr="00F12239">
      <w:rPr>
        <w:rFonts w:ascii="Times New Roman" w:hAnsi="Times New Roman" w:cs="Times New Roman"/>
        <w:i/>
      </w:rPr>
      <w:t xml:space="preserve">Проект на Постановление за изменение и допълнение на </w:t>
    </w:r>
    <w:r w:rsidR="0069291B">
      <w:rPr>
        <w:rFonts w:ascii="Times New Roman" w:hAnsi="Times New Roman" w:cs="Times New Roman"/>
        <w:i/>
      </w:rPr>
      <w:t>нормативни актове на Министерския съвет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A2F" w:rsidRDefault="00490A2F" w:rsidP="00F12239">
      <w:pPr>
        <w:spacing w:after="0" w:line="240" w:lineRule="auto"/>
      </w:pPr>
      <w:r>
        <w:separator/>
      </w:r>
    </w:p>
  </w:footnote>
  <w:footnote w:type="continuationSeparator" w:id="0">
    <w:p w:rsidR="00490A2F" w:rsidRDefault="00490A2F" w:rsidP="00F12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DBE" w:rsidRPr="00DA1A53" w:rsidRDefault="00903DBE" w:rsidP="00903DBE">
    <w:pPr>
      <w:pStyle w:val="Header"/>
      <w:jc w:val="center"/>
      <w:rPr>
        <w:rFonts w:ascii="Times New Roman" w:eastAsia="Times New Roman" w:hAnsi="Times New Roman" w:cs="Times New Roman"/>
        <w:b/>
        <w:spacing w:val="70"/>
        <w:sz w:val="24"/>
        <w:szCs w:val="24"/>
        <w:lang w:eastAsia="bg-BG"/>
      </w:rPr>
    </w:pPr>
    <w:r w:rsidRPr="0097389B">
      <w:rPr>
        <w:noProof/>
        <w:lang w:val="en-US"/>
      </w:rPr>
      <w:drawing>
        <wp:anchor distT="0" distB="0" distL="114300" distR="114300" simplePos="0" relativeHeight="251659264" behindDoc="1" locked="0" layoutInCell="1" allowOverlap="1" wp14:anchorId="3485E323" wp14:editId="0F678ECF">
          <wp:simplePos x="0" y="0"/>
          <wp:positionH relativeFrom="margin">
            <wp:align>center</wp:align>
          </wp:positionH>
          <wp:positionV relativeFrom="paragraph">
            <wp:posOffset>-290195</wp:posOffset>
          </wp:positionV>
          <wp:extent cx="1134110" cy="987425"/>
          <wp:effectExtent l="0" t="0" r="8890"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987425"/>
                  </a:xfrm>
                  <a:prstGeom prst="rect">
                    <a:avLst/>
                  </a:prstGeom>
                  <a:noFill/>
                </pic:spPr>
              </pic:pic>
            </a:graphicData>
          </a:graphic>
          <wp14:sizeRelH relativeFrom="page">
            <wp14:pctWidth>0</wp14:pctWidth>
          </wp14:sizeRelH>
          <wp14:sizeRelV relativeFrom="page">
            <wp14:pctHeight>0</wp14:pctHeight>
          </wp14:sizeRelV>
        </wp:anchor>
      </w:drawing>
    </w:r>
    <w:r w:rsidRPr="00DA1A53">
      <w:rPr>
        <w:rFonts w:ascii="Times New Roman" w:eastAsia="Times New Roman" w:hAnsi="Times New Roman" w:cs="Times New Roman"/>
        <w:b/>
        <w:spacing w:val="70"/>
        <w:sz w:val="24"/>
        <w:szCs w:val="24"/>
        <w:lang w:eastAsia="bg-BG"/>
      </w:rPr>
      <w:t xml:space="preserve">РЕПУБЛИКА </w:t>
    </w:r>
    <w:r>
      <w:rPr>
        <w:rFonts w:ascii="Times New Roman" w:eastAsia="Times New Roman" w:hAnsi="Times New Roman" w:cs="Times New Roman"/>
        <w:b/>
        <w:spacing w:val="70"/>
        <w:sz w:val="24"/>
        <w:szCs w:val="24"/>
        <w:lang w:eastAsia="bg-BG"/>
      </w:rPr>
      <w:t xml:space="preserve"> </w:t>
    </w:r>
    <w:r w:rsidRPr="00DA1A53">
      <w:rPr>
        <w:rFonts w:ascii="Times New Roman" w:eastAsia="Times New Roman" w:hAnsi="Times New Roman" w:cs="Times New Roman"/>
        <w:b/>
        <w:spacing w:val="70"/>
        <w:sz w:val="24"/>
        <w:szCs w:val="24"/>
        <w:lang w:eastAsia="bg-BG"/>
      </w:rPr>
      <w:t>БЪЛГАРИЯ</w:t>
    </w:r>
  </w:p>
  <w:p w:rsidR="00903DBE" w:rsidRPr="00DA1A53" w:rsidRDefault="00903DBE" w:rsidP="00903DBE">
    <w:pPr>
      <w:pBdr>
        <w:bottom w:val="single" w:sz="4" w:space="1" w:color="auto"/>
      </w:pBdr>
      <w:spacing w:after="0" w:line="240" w:lineRule="auto"/>
      <w:jc w:val="center"/>
      <w:rPr>
        <w:rFonts w:ascii="Times New Roman" w:eastAsia="Times New Roman" w:hAnsi="Times New Roman" w:cs="Times New Roman"/>
        <w:b/>
        <w:bCs/>
        <w:spacing w:val="70"/>
        <w:sz w:val="24"/>
        <w:szCs w:val="24"/>
        <w:lang w:eastAsia="bg-BG"/>
      </w:rPr>
    </w:pPr>
    <w:r w:rsidRPr="00DA1A53">
      <w:rPr>
        <w:rFonts w:ascii="Times New Roman" w:eastAsia="Times New Roman" w:hAnsi="Times New Roman" w:cs="Times New Roman"/>
        <w:b/>
        <w:spacing w:val="70"/>
        <w:sz w:val="24"/>
        <w:szCs w:val="24"/>
        <w:lang w:eastAsia="bg-BG"/>
      </w:rPr>
      <w:t>МИНИСТЕРСКИ  СЪВЕТ</w:t>
    </w:r>
  </w:p>
  <w:p w:rsidR="00F12239" w:rsidRPr="00903DBE" w:rsidRDefault="00F12239" w:rsidP="00903D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74DF4"/>
    <w:multiLevelType w:val="hybridMultilevel"/>
    <w:tmpl w:val="CE40F7F6"/>
    <w:lvl w:ilvl="0" w:tplc="3B1AD576">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 w15:restartNumberingAfterBreak="0">
    <w:nsid w:val="312E5FAC"/>
    <w:multiLevelType w:val="hybridMultilevel"/>
    <w:tmpl w:val="B608EA48"/>
    <w:lvl w:ilvl="0" w:tplc="D1FC6E4C">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1D7"/>
    <w:rsid w:val="000562FD"/>
    <w:rsid w:val="000751D7"/>
    <w:rsid w:val="000C18E7"/>
    <w:rsid w:val="001535F2"/>
    <w:rsid w:val="002378D0"/>
    <w:rsid w:val="00277774"/>
    <w:rsid w:val="00316E22"/>
    <w:rsid w:val="003B14AC"/>
    <w:rsid w:val="003C125E"/>
    <w:rsid w:val="00490A2F"/>
    <w:rsid w:val="00533843"/>
    <w:rsid w:val="005B7ED9"/>
    <w:rsid w:val="005D01D4"/>
    <w:rsid w:val="0069291B"/>
    <w:rsid w:val="006C458B"/>
    <w:rsid w:val="007005E5"/>
    <w:rsid w:val="00757B5B"/>
    <w:rsid w:val="00797465"/>
    <w:rsid w:val="008A20A3"/>
    <w:rsid w:val="00903DBE"/>
    <w:rsid w:val="009C1408"/>
    <w:rsid w:val="009E3D98"/>
    <w:rsid w:val="00A46A85"/>
    <w:rsid w:val="00A52735"/>
    <w:rsid w:val="00A86806"/>
    <w:rsid w:val="00AC752D"/>
    <w:rsid w:val="00BE4479"/>
    <w:rsid w:val="00EC5436"/>
    <w:rsid w:val="00F12239"/>
    <w:rsid w:val="00F5442A"/>
    <w:rsid w:val="00F77B92"/>
    <w:rsid w:val="00FA185E"/>
    <w:rsid w:val="00FB3E30"/>
    <w:rsid w:val="00FD6CC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AF5B32-113C-4BE2-9B5F-660E5BCD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1D7"/>
    <w:pPr>
      <w:ind w:left="720"/>
      <w:contextualSpacing/>
    </w:pPr>
  </w:style>
  <w:style w:type="paragraph" w:styleId="Header">
    <w:name w:val="header"/>
    <w:basedOn w:val="Normal"/>
    <w:link w:val="HeaderChar"/>
    <w:uiPriority w:val="99"/>
    <w:unhideWhenUsed/>
    <w:rsid w:val="00F122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2239"/>
  </w:style>
  <w:style w:type="paragraph" w:styleId="Footer">
    <w:name w:val="footer"/>
    <w:basedOn w:val="Normal"/>
    <w:link w:val="FooterChar"/>
    <w:uiPriority w:val="99"/>
    <w:unhideWhenUsed/>
    <w:rsid w:val="00F122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2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AA61A-3184-4687-8582-D42AE2F5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1682</Words>
  <Characters>9592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Ирена Борисова</dc:creator>
  <cp:keywords/>
  <dc:description/>
  <cp:lastModifiedBy>Vladimir Petrov</cp:lastModifiedBy>
  <cp:revision>2</cp:revision>
  <dcterms:created xsi:type="dcterms:W3CDTF">2026-08-07T07:53:00Z</dcterms:created>
  <dcterms:modified xsi:type="dcterms:W3CDTF">2026-08-07T07:53:00Z</dcterms:modified>
</cp:coreProperties>
</file>